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07/2026/QĐ-VSF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CHẾ</w:t>
      </w:r>
    </w:p>
    <w:p>
      <w:pPr>
        <w:spacing w:after="240" w:line="269" w:lineRule="auto"/>
        <w:jc w:val="center"/>
      </w:pPr>
      <w:r>
        <w:rPr>
          <w:rFonts w:ascii="Times New Roman" w:hAnsi="Times New Roman" w:eastAsia="Times New Roman"/>
          <w:b/>
          <w:i w:val="0"/>
          <w:sz w:val="40"/>
        </w:rPr>
        <w:t>QUY CHẾ KỶ LUẬT LAO ĐỘNG, XỬ LÝ VI PHẠM NỘI QUY VÀ BẢO MẬT THÔNG TIN</w:t>
      </w:r>
    </w:p>
    <w:p>
      <w:pPr>
        <w:spacing w:after="120" w:line="269" w:lineRule="auto"/>
        <w:jc w:val="center"/>
      </w:pPr>
      <w:r>
        <w:rPr>
          <w:rFonts w:ascii="Times New Roman" w:hAnsi="Times New Roman" w:eastAsia="Times New Roman"/>
          <w:b w:val="0"/>
          <w:i/>
          <w:sz w:val="24"/>
        </w:rPr>
        <w:t>(Ban hành kèm theo Quyết định số 07/2026/QĐ-VSF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VSF/QD-NS-03/2026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Nhân sự và Pháp chế</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07/2026/QĐ-VSF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chế quy chế kỷ luật lao động, xử lý vi phạm nội quy và bảo mật thông tin</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Nội quy lao động đã đăng ký, thỏa thuận bảo mật và quy định bảo vệ bí mật kinh doanh của Công ty;</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chế “Quy chế kỷ luật lao động, xử lý vi phạm nội quy và bảo mật thông tin”.</w:t>
      </w:r>
    </w:p>
    <w:p>
      <w:pPr>
        <w:spacing w:after="120" w:line="269" w:lineRule="auto"/>
      </w:pPr>
      <w:r>
        <w:rPr>
          <w:rFonts w:ascii="Times New Roman" w:hAnsi="Times New Roman" w:eastAsia="Times New Roman"/>
          <w:b w:val="0"/>
          <w:i w:val="0"/>
          <w:sz w:val="24"/>
        </w:rPr>
        <w:t>Điều 2. Trưởng Phòng Nhân sự và Pháp chế,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chế xử lý đi muộn, về sớm</w:t>
      </w:r>
    </w:p>
    <w:p>
      <w:pPr>
        <w:spacing w:after="40" w:line="269" w:lineRule="auto"/>
        <w:ind w:firstLine="0"/>
      </w:pPr>
      <w:r>
        <w:rPr>
          <w:rFonts w:ascii="Times New Roman" w:hAnsi="Times New Roman" w:eastAsia="Times New Roman"/>
          <w:b w:val="0"/>
          <w:i w:val="0"/>
          <w:sz w:val="22"/>
        </w:rPr>
        <w:t>9. Điều 9. Quy trình thực hiện Quy chế xử lý đi muộn, về sớm</w:t>
      </w:r>
    </w:p>
    <w:p>
      <w:pPr>
        <w:spacing w:after="40" w:line="269" w:lineRule="auto"/>
        <w:ind w:firstLine="0"/>
      </w:pPr>
      <w:r>
        <w:rPr>
          <w:rFonts w:ascii="Times New Roman" w:hAnsi="Times New Roman" w:eastAsia="Times New Roman"/>
          <w:b w:val="0"/>
          <w:i w:val="0"/>
          <w:sz w:val="22"/>
        </w:rPr>
        <w:t>10. Điều 10. Quy định về Quy định bảo mật thông tin doanh nghiệp NDA và chế tài khi rò rỉ</w:t>
      </w:r>
    </w:p>
    <w:p>
      <w:pPr>
        <w:spacing w:after="40" w:line="269" w:lineRule="auto"/>
        <w:ind w:firstLine="0"/>
      </w:pPr>
      <w:r>
        <w:rPr>
          <w:rFonts w:ascii="Times New Roman" w:hAnsi="Times New Roman" w:eastAsia="Times New Roman"/>
          <w:b w:val="0"/>
          <w:i w:val="0"/>
          <w:sz w:val="22"/>
        </w:rPr>
        <w:t>11. Điều 11. Quy trình thực hiện Quy định bảo mật thông tin doanh nghiệp NDA và chế tài khi rò rỉ</w:t>
      </w:r>
    </w:p>
    <w:p>
      <w:pPr>
        <w:spacing w:after="40" w:line="269" w:lineRule="auto"/>
        <w:ind w:firstLine="0"/>
      </w:pPr>
      <w:r>
        <w:rPr>
          <w:rFonts w:ascii="Times New Roman" w:hAnsi="Times New Roman" w:eastAsia="Times New Roman"/>
          <w:b w:val="0"/>
          <w:i w:val="0"/>
          <w:sz w:val="22"/>
        </w:rPr>
        <w:t>12. Điều 12. Quy định về Quy trình xử lý kỷ luật lao động gồm khiển trách, kéo dài thời hạn nâng lương, sa thải</w:t>
      </w:r>
    </w:p>
    <w:p>
      <w:pPr>
        <w:spacing w:after="40" w:line="269" w:lineRule="auto"/>
        <w:ind w:firstLine="0"/>
      </w:pPr>
      <w:r>
        <w:rPr>
          <w:rFonts w:ascii="Times New Roman" w:hAnsi="Times New Roman" w:eastAsia="Times New Roman"/>
          <w:b w:val="0"/>
          <w:i w:val="0"/>
          <w:sz w:val="22"/>
        </w:rPr>
        <w:t>13. Điều 13. Quy trình thực hiện Quy trình xử lý kỷ luật lao động gồm khiển trách, kéo dài thời hạn nâng lương, sa thải</w:t>
      </w:r>
    </w:p>
    <w:p>
      <w:pPr>
        <w:spacing w:after="40" w:line="269" w:lineRule="auto"/>
        <w:ind w:firstLine="0"/>
      </w:pPr>
      <w:r>
        <w:rPr>
          <w:rFonts w:ascii="Times New Roman" w:hAnsi="Times New Roman" w:eastAsia="Times New Roman"/>
          <w:b w:val="0"/>
          <w:i w:val="0"/>
          <w:sz w:val="22"/>
        </w:rPr>
        <w:t>14. Điều 14. Quy định về Biên bản vi phạm nội quy</w:t>
      </w:r>
    </w:p>
    <w:p>
      <w:pPr>
        <w:spacing w:after="40" w:line="269" w:lineRule="auto"/>
        <w:ind w:firstLine="0"/>
      </w:pPr>
      <w:r>
        <w:rPr>
          <w:rFonts w:ascii="Times New Roman" w:hAnsi="Times New Roman" w:eastAsia="Times New Roman"/>
          <w:b w:val="0"/>
          <w:i w:val="0"/>
          <w:sz w:val="22"/>
        </w:rPr>
        <w:t>15. Điều 15. Quy trình thực hiện Biên bản vi phạm nội quy</w:t>
      </w:r>
    </w:p>
    <w:p>
      <w:pPr>
        <w:spacing w:after="40" w:line="269" w:lineRule="auto"/>
        <w:ind w:firstLine="0"/>
      </w:pPr>
      <w:r>
        <w:rPr>
          <w:rFonts w:ascii="Times New Roman" w:hAnsi="Times New Roman" w:eastAsia="Times New Roman"/>
          <w:b w:val="0"/>
          <w:i w:val="0"/>
          <w:sz w:val="22"/>
        </w:rPr>
        <w:t>16. Điều 16.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17. Điều 17. Quy định về truyền thông nội bộ và đào tạo tuân thủ</w:t>
      </w:r>
    </w:p>
    <w:p>
      <w:pPr>
        <w:spacing w:after="40" w:line="269" w:lineRule="auto"/>
        <w:ind w:firstLine="0"/>
      </w:pPr>
      <w:r>
        <w:rPr>
          <w:rFonts w:ascii="Times New Roman" w:hAnsi="Times New Roman" w:eastAsia="Times New Roman"/>
          <w:b w:val="0"/>
          <w:i w:val="0"/>
          <w:sz w:val="22"/>
        </w:rPr>
        <w:t>18. Điều 18. Quy định về kiểm tra định kỳ và kiểm tra đột xuất</w:t>
      </w:r>
    </w:p>
    <w:p>
      <w:pPr>
        <w:spacing w:after="40" w:line="269" w:lineRule="auto"/>
        <w:ind w:firstLine="0"/>
      </w:pPr>
      <w:r>
        <w:rPr>
          <w:rFonts w:ascii="Times New Roman" w:hAnsi="Times New Roman" w:eastAsia="Times New Roman"/>
          <w:b w:val="0"/>
          <w:i w:val="0"/>
          <w:sz w:val="22"/>
        </w:rPr>
        <w:t>19. Điều 19. Quy định về báo cáo tháng/quý cho Ban Tổng Giám đốc</w:t>
      </w:r>
    </w:p>
    <w:p>
      <w:pPr>
        <w:spacing w:after="40" w:line="269" w:lineRule="auto"/>
        <w:ind w:firstLine="0"/>
      </w:pPr>
      <w:r>
        <w:rPr>
          <w:rFonts w:ascii="Times New Roman" w:hAnsi="Times New Roman" w:eastAsia="Times New Roman"/>
          <w:b w:val="0"/>
          <w:i w:val="0"/>
          <w:sz w:val="22"/>
        </w:rPr>
        <w:t>20. Điều 20.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21. Điều 21. Quy định về phối hợp giữa các phòng ban liên quan</w:t>
      </w:r>
    </w:p>
    <w:p>
      <w:pPr>
        <w:spacing w:after="40" w:line="269" w:lineRule="auto"/>
        <w:ind w:firstLine="0"/>
      </w:pPr>
      <w:r>
        <w:rPr>
          <w:rFonts w:ascii="Times New Roman" w:hAnsi="Times New Roman" w:eastAsia="Times New Roman"/>
          <w:b w:val="0"/>
          <w:i w:val="0"/>
          <w:sz w:val="22"/>
        </w:rPr>
        <w:t>22. Điều 22. Quy định về đánh giá rủi ro và biện pháp phòng ngừa</w:t>
      </w:r>
    </w:p>
    <w:p>
      <w:pPr>
        <w:spacing w:after="40" w:line="269" w:lineRule="auto"/>
        <w:ind w:firstLine="0"/>
      </w:pPr>
      <w:r>
        <w:rPr>
          <w:rFonts w:ascii="Times New Roman" w:hAnsi="Times New Roman" w:eastAsia="Times New Roman"/>
          <w:b w:val="0"/>
          <w:i w:val="0"/>
          <w:sz w:val="22"/>
        </w:rPr>
        <w:t>23. Điều 23. Quy định về phê duyệt ngoại lệ và vượt thẩm quyền</w:t>
      </w:r>
    </w:p>
    <w:p>
      <w:pPr>
        <w:spacing w:after="40" w:line="269" w:lineRule="auto"/>
        <w:ind w:firstLine="0"/>
      </w:pPr>
      <w:r>
        <w:rPr>
          <w:rFonts w:ascii="Times New Roman" w:hAnsi="Times New Roman" w:eastAsia="Times New Roman"/>
          <w:b w:val="0"/>
          <w:i w:val="0"/>
          <w:sz w:val="22"/>
        </w:rPr>
        <w:t>24. Điều 24. Quy định về lưu trữ chứng cứ, hình ảnh, log và biên bản</w:t>
      </w:r>
    </w:p>
    <w:p>
      <w:pPr>
        <w:spacing w:after="40" w:line="269" w:lineRule="auto"/>
        <w:ind w:firstLine="0"/>
      </w:pPr>
      <w:r>
        <w:rPr>
          <w:rFonts w:ascii="Times New Roman" w:hAnsi="Times New Roman" w:eastAsia="Times New Roman"/>
          <w:b w:val="0"/>
          <w:i w:val="0"/>
          <w:sz w:val="22"/>
        </w:rPr>
        <w:t>25. Điều 25.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26. Điều 26. Quy định về bồi hoàn thiệt hại thực tế nếu có căn cứ</w:t>
      </w:r>
    </w:p>
    <w:p>
      <w:pPr>
        <w:spacing w:after="40" w:line="269" w:lineRule="auto"/>
        <w:ind w:firstLine="0"/>
      </w:pPr>
      <w:r>
        <w:rPr>
          <w:rFonts w:ascii="Times New Roman" w:hAnsi="Times New Roman" w:eastAsia="Times New Roman"/>
          <w:b w:val="0"/>
          <w:i w:val="0"/>
          <w:sz w:val="22"/>
        </w:rPr>
        <w:t>27. Điều 27.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28. Điều 28. Quy định về rà soát định kỳ và cải tiến quy trình</w:t>
      </w:r>
    </w:p>
    <w:p>
      <w:pPr>
        <w:spacing w:after="40" w:line="269" w:lineRule="auto"/>
        <w:ind w:firstLine="0"/>
      </w:pPr>
      <w:r>
        <w:rPr>
          <w:rFonts w:ascii="Times New Roman" w:hAnsi="Times New Roman" w:eastAsia="Times New Roman"/>
          <w:b w:val="0"/>
          <w:i w:val="0"/>
          <w:sz w:val="22"/>
        </w:rPr>
        <w:t>29. Điều 29. Quy định về chuyển tiếp đối với hồ sơ đang xử lý</w:t>
      </w:r>
    </w:p>
    <w:p>
      <w:pPr>
        <w:spacing w:after="40" w:line="269" w:lineRule="auto"/>
        <w:ind w:firstLine="0"/>
      </w:pPr>
      <w:r>
        <w:rPr>
          <w:rFonts w:ascii="Times New Roman" w:hAnsi="Times New Roman" w:eastAsia="Times New Roman"/>
          <w:b w:val="0"/>
          <w:i w:val="0"/>
          <w:sz w:val="22"/>
        </w:rPr>
        <w:t>30. Điều 30. Quy định về hành vi không được thực hiện</w:t>
      </w:r>
    </w:p>
    <w:p>
      <w:pPr>
        <w:spacing w:after="40" w:line="269" w:lineRule="auto"/>
        <w:ind w:firstLine="0"/>
      </w:pPr>
      <w:r>
        <w:rPr>
          <w:rFonts w:ascii="Times New Roman" w:hAnsi="Times New Roman" w:eastAsia="Times New Roman"/>
          <w:b w:val="0"/>
          <w:i w:val="0"/>
          <w:sz w:val="22"/>
        </w:rPr>
        <w:t>31. Điều 31.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32. Điều 32. Quy định về đánh giá hiệu quả thực hiện quy định</w:t>
      </w:r>
    </w:p>
    <w:p>
      <w:pPr>
        <w:spacing w:after="40" w:line="269" w:lineRule="auto"/>
        <w:ind w:firstLine="0"/>
      </w:pPr>
      <w:r>
        <w:rPr>
          <w:rFonts w:ascii="Times New Roman" w:hAnsi="Times New Roman" w:eastAsia="Times New Roman"/>
          <w:b w:val="0"/>
          <w:i w:val="0"/>
          <w:sz w:val="22"/>
        </w:rPr>
        <w:t>33. Điều 33. Quy định về kiểm toán nội bộ và trách nhiệm giải trình</w:t>
      </w:r>
    </w:p>
    <w:p>
      <w:pPr>
        <w:spacing w:after="40" w:line="269" w:lineRule="auto"/>
        <w:ind w:firstLine="0"/>
      </w:pPr>
      <w:r>
        <w:rPr>
          <w:rFonts w:ascii="Times New Roman" w:hAnsi="Times New Roman" w:eastAsia="Times New Roman"/>
          <w:b w:val="0"/>
          <w:i w:val="0"/>
          <w:sz w:val="22"/>
        </w:rPr>
        <w:t>34. Điều 34. Quy định về xử lý trường hợp bất khả kháng</w:t>
      </w:r>
    </w:p>
    <w:p>
      <w:pPr>
        <w:spacing w:after="40" w:line="269" w:lineRule="auto"/>
        <w:ind w:firstLine="0"/>
      </w:pPr>
      <w:r>
        <w:rPr>
          <w:rFonts w:ascii="Times New Roman" w:hAnsi="Times New Roman" w:eastAsia="Times New Roman"/>
          <w:b w:val="0"/>
          <w:i w:val="0"/>
          <w:sz w:val="22"/>
        </w:rPr>
        <w:t>35. Điều 35.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36. Điều 36. Quy định về cập nhật phụ lục và biểu mẫu nghiệp vụ</w:t>
      </w:r>
    </w:p>
    <w:p>
      <w:pPr>
        <w:spacing w:after="40" w:line="269" w:lineRule="auto"/>
        <w:ind w:firstLine="0"/>
      </w:pPr>
      <w:r>
        <w:rPr>
          <w:rFonts w:ascii="Times New Roman" w:hAnsi="Times New Roman" w:eastAsia="Times New Roman"/>
          <w:b w:val="0"/>
          <w:i w:val="0"/>
          <w:sz w:val="22"/>
        </w:rPr>
        <w:t>37. Điều 37. Quy định về kiểm soát dữ liệu cá nhân trong hồ sơ</w:t>
      </w:r>
    </w:p>
    <w:p>
      <w:pPr>
        <w:spacing w:after="40" w:line="269" w:lineRule="auto"/>
        <w:ind w:firstLine="0"/>
      </w:pPr>
      <w:r>
        <w:rPr>
          <w:rFonts w:ascii="Times New Roman" w:hAnsi="Times New Roman" w:eastAsia="Times New Roman"/>
          <w:b w:val="0"/>
          <w:i w:val="0"/>
          <w:sz w:val="22"/>
        </w:rPr>
        <w:t>38. Điều 38. Quy định về huấn luyện nhân sự mới và tái huấn luyện</w:t>
      </w:r>
    </w:p>
    <w:p>
      <w:pPr>
        <w:spacing w:after="40" w:line="269" w:lineRule="auto"/>
        <w:ind w:firstLine="0"/>
      </w:pPr>
      <w:r>
        <w:rPr>
          <w:rFonts w:ascii="Times New Roman" w:hAnsi="Times New Roman" w:eastAsia="Times New Roman"/>
          <w:b w:val="0"/>
          <w:i w:val="0"/>
          <w:sz w:val="22"/>
        </w:rPr>
        <w:t>39. Điều 39. Quy định về xử lý xung đột lợi ích</w:t>
      </w:r>
    </w:p>
    <w:p>
      <w:pPr>
        <w:spacing w:after="40" w:line="269" w:lineRule="auto"/>
        <w:ind w:firstLine="0"/>
      </w:pPr>
      <w:r>
        <w:rPr>
          <w:rFonts w:ascii="Times New Roman" w:hAnsi="Times New Roman" w:eastAsia="Times New Roman"/>
          <w:b w:val="0"/>
          <w:i w:val="0"/>
          <w:sz w:val="22"/>
        </w:rPr>
        <w:t>40. Điều 40. Quy định về theo dõi chỉ số tuân thủ</w:t>
      </w:r>
    </w:p>
    <w:p>
      <w:pPr>
        <w:spacing w:after="40" w:line="269" w:lineRule="auto"/>
        <w:ind w:firstLine="0"/>
      </w:pPr>
      <w:r>
        <w:rPr>
          <w:rFonts w:ascii="Times New Roman" w:hAnsi="Times New Roman" w:eastAsia="Times New Roman"/>
          <w:b w:val="0"/>
          <w:i w:val="0"/>
          <w:sz w:val="22"/>
        </w:rPr>
        <w:t>41. Điều 48. Kiểm tra, giám sát</w:t>
      </w:r>
    </w:p>
    <w:p>
      <w:pPr>
        <w:spacing w:after="40" w:line="269" w:lineRule="auto"/>
        <w:ind w:firstLine="0"/>
      </w:pPr>
      <w:r>
        <w:rPr>
          <w:rFonts w:ascii="Times New Roman" w:hAnsi="Times New Roman" w:eastAsia="Times New Roman"/>
          <w:b w:val="0"/>
          <w:i w:val="0"/>
          <w:sz w:val="22"/>
        </w:rPr>
        <w:t>42. Điều 49. Xử lý vi phạm</w:t>
      </w:r>
    </w:p>
    <w:p>
      <w:pPr>
        <w:spacing w:after="40" w:line="269" w:lineRule="auto"/>
        <w:ind w:firstLine="0"/>
      </w:pPr>
      <w:r>
        <w:rPr>
          <w:rFonts w:ascii="Times New Roman" w:hAnsi="Times New Roman" w:eastAsia="Times New Roman"/>
          <w:b w:val="0"/>
          <w:i w:val="0"/>
          <w:sz w:val="22"/>
        </w:rPr>
        <w:t>43. Điều 50. Khiếu nại, phản ánh</w:t>
      </w:r>
    </w:p>
    <w:p>
      <w:pPr>
        <w:spacing w:after="40" w:line="269" w:lineRule="auto"/>
        <w:ind w:firstLine="0"/>
      </w:pPr>
      <w:r>
        <w:rPr>
          <w:rFonts w:ascii="Times New Roman" w:hAnsi="Times New Roman" w:eastAsia="Times New Roman"/>
          <w:b w:val="0"/>
          <w:i w:val="0"/>
          <w:sz w:val="22"/>
        </w:rPr>
        <w:t>44. Điều 51. Sửa đổi, bổ sung</w:t>
      </w:r>
    </w:p>
    <w:p>
      <w:pPr>
        <w:spacing w:after="40" w:line="269" w:lineRule="auto"/>
        <w:ind w:firstLine="0"/>
      </w:pPr>
      <w:r>
        <w:rPr>
          <w:rFonts w:ascii="Times New Roman" w:hAnsi="Times New Roman" w:eastAsia="Times New Roman"/>
          <w:b w:val="0"/>
          <w:i w:val="0"/>
          <w:sz w:val="22"/>
        </w:rPr>
        <w:t>45. Điều 52. Điều khoản thi hành</w:t>
      </w:r>
    </w:p>
    <w:p>
      <w:r>
        <w:br w:type="page"/>
      </w:r>
    </w:p>
    <w:p>
      <w:pPr>
        <w:spacing w:after="120" w:line="269" w:lineRule="auto"/>
        <w:jc w:val="center"/>
      </w:pPr>
      <w:r>
        <w:rPr>
          <w:rFonts w:ascii="Times New Roman" w:hAnsi="Times New Roman" w:eastAsia="Times New Roman"/>
          <w:b/>
          <w:i w:val="0"/>
          <w:sz w:val="32"/>
        </w:rPr>
        <w:t>QUY CHẾ</w:t>
      </w:r>
    </w:p>
    <w:p>
      <w:pPr>
        <w:spacing w:after="120" w:line="269" w:lineRule="auto"/>
        <w:jc w:val="center"/>
      </w:pPr>
      <w:r>
        <w:rPr>
          <w:rFonts w:ascii="Times New Roman" w:hAnsi="Times New Roman" w:eastAsia="Times New Roman"/>
          <w:b/>
          <w:i w:val="0"/>
          <w:sz w:val="32"/>
        </w:rPr>
        <w:t>QUY CHẾ KỶ LUẬT LAO ĐỘNG, XỬ LÝ VI PHẠM NỘI QUY VÀ BẢO MẬT THÔNG TIN</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kỷ luật lao động và xử lý vi phạm.</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chế xử lý đi muộn, về sớm</w:t>
      </w:r>
    </w:p>
    <w:p>
      <w:pPr>
        <w:spacing w:after="100" w:line="269" w:lineRule="auto"/>
        <w:ind w:firstLine="0"/>
      </w:pPr>
      <w:r>
        <w:rPr>
          <w:rFonts w:ascii="Times New Roman" w:hAnsi="Times New Roman" w:eastAsia="Times New Roman"/>
          <w:b w:val="0"/>
          <w:i w:val="0"/>
          <w:sz w:val="24"/>
        </w:rPr>
        <w:t>1. Quy chế xử lý đi muộn, về sớm là nội dung bắt buộc trong phạm vi kỷ luật lao động và xử lý vi phạm,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Xử lý kỷ luật phải có căn cứ, đúng trình tự, tôn trọng danh dự nhân phẩm, không phạt tiền hoặc cắt lương trái quy định.</w:t>
      </w:r>
    </w:p>
    <w:p>
      <w:pPr>
        <w:spacing w:after="100" w:line="269" w:lineRule="auto"/>
        <w:ind w:firstLine="0"/>
      </w:pPr>
      <w:r>
        <w:rPr>
          <w:rFonts w:ascii="Times New Roman" w:hAnsi="Times New Roman" w:eastAsia="Times New Roman"/>
          <w:b w:val="0"/>
          <w:i w:val="0"/>
          <w:sz w:val="24"/>
        </w:rPr>
        <w:t>3. Người lao động liên quan phải nắm rõ yêu cầu về quy chế xử lý đi muộn, về sớm,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xử lý đi muộn, về sớm.</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chế xử lý đi muộn, về sớm</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xử lý đi muộn, về sớm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xử lý đi muộn, về sớm.</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định bảo mật thông tin doanh nghiệp NDA và chế tài khi rò rỉ</w:t>
      </w:r>
    </w:p>
    <w:p>
      <w:pPr>
        <w:spacing w:after="100" w:line="269" w:lineRule="auto"/>
        <w:ind w:firstLine="0"/>
      </w:pPr>
      <w:r>
        <w:rPr>
          <w:rFonts w:ascii="Times New Roman" w:hAnsi="Times New Roman" w:eastAsia="Times New Roman"/>
          <w:b w:val="0"/>
          <w:i w:val="0"/>
          <w:sz w:val="24"/>
        </w:rPr>
        <w:t>1. Quy định bảo mật thông tin doanh nghiệp NDA và chế tài khi rò rỉ là nội dung bắt buộc trong phạm vi kỷ luật lao động và xử lý vi phạm,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Xử lý kỷ luật phải có căn cứ, đúng trình tự, tôn trọng danh dự nhân phẩm, không phạt tiền hoặc cắt lương trái quy định.</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bảo mật thông tin doanh nghiệp nda và chế tài khi rò rỉ,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bảo mật thông tin doanh nghiệp nda và chế tài khi rò rỉ.</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định bảo mật thông tin doanh nghiệp NDA và chế tài khi rò rỉ</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bảo mật thông tin doanh nghiệp nda và chế tài khi rò rỉ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bảo mật thông tin doanh nghiệp nda và chế tài khi rò rỉ.</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trình xử lý kỷ luật lao động gồm khiển trách, kéo dài thời hạn nâng lương, sa thải</w:t>
      </w:r>
    </w:p>
    <w:p>
      <w:pPr>
        <w:spacing w:after="100" w:line="269" w:lineRule="auto"/>
        <w:ind w:firstLine="0"/>
      </w:pPr>
      <w:r>
        <w:rPr>
          <w:rFonts w:ascii="Times New Roman" w:hAnsi="Times New Roman" w:eastAsia="Times New Roman"/>
          <w:b w:val="0"/>
          <w:i w:val="0"/>
          <w:sz w:val="24"/>
        </w:rPr>
        <w:t>1. Quy trình xử lý kỷ luật lao động gồm khiển trách, kéo dài thời hạn nâng lương, sa thải là nội dung bắt buộc trong phạm vi kỷ luật lao động và xử lý vi phạm,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Xử lý kỷ luật phải có căn cứ, đúng trình tự, tôn trọng danh dự nhân phẩm, không phạt tiền hoặc cắt lương trái quy định.</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xử lý kỷ luật lao động gồm khiển trách, kéo dài thời hạn nâng lương, sa thải,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xử lý kỷ luật lao động gồm khiển trách, kéo dài thời hạn nâng lương, sa thải.</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trình xử lý kỷ luật lao động gồm khiển trách, kéo dài thời hạn nâng lương, sa thải</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xử lý kỷ luật lao động gồm khiển trách, kéo dài thời hạn nâng lương, sa thải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xử lý kỷ luật lao động gồm khiển trách, kéo dài thời hạn nâng lương, sa thải.</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Biên bản vi phạm nội quy</w:t>
      </w:r>
    </w:p>
    <w:p>
      <w:pPr>
        <w:spacing w:after="100" w:line="269" w:lineRule="auto"/>
        <w:ind w:firstLine="0"/>
      </w:pPr>
      <w:r>
        <w:rPr>
          <w:rFonts w:ascii="Times New Roman" w:hAnsi="Times New Roman" w:eastAsia="Times New Roman"/>
          <w:b w:val="0"/>
          <w:i w:val="0"/>
          <w:sz w:val="24"/>
        </w:rPr>
        <w:t>1. Biên bản vi phạm nội quy là nội dung bắt buộc trong phạm vi kỷ luật lao động và xử lý vi phạm,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Xử lý kỷ luật phải có căn cứ, đúng trình tự, tôn trọng danh dự nhân phẩm, không phạt tiền hoặc cắt lương trái quy định.</w:t>
      </w:r>
    </w:p>
    <w:p>
      <w:pPr>
        <w:spacing w:after="100" w:line="269" w:lineRule="auto"/>
        <w:ind w:firstLine="0"/>
      </w:pPr>
      <w:r>
        <w:rPr>
          <w:rFonts w:ascii="Times New Roman" w:hAnsi="Times New Roman" w:eastAsia="Times New Roman"/>
          <w:b w:val="0"/>
          <w:i w:val="0"/>
          <w:sz w:val="24"/>
        </w:rPr>
        <w:t>3. Người lao động liên quan phải nắm rõ yêu cầu về biên bản vi phạm nội quy,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biên bản vi phạm nội quy.</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Biên bản vi phạm nội quy</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biên bản vi phạm nội quy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biên bản vi phạm nội quy.</w:t>
      </w:r>
    </w:p>
    <w:p>
      <w:pPr>
        <w:spacing w:after="100" w:line="269" w:lineRule="auto"/>
        <w:ind w:firstLine="0"/>
      </w:pPr>
      <w:r>
        <w:rPr>
          <w:rFonts w:ascii="Times New Roman" w:hAnsi="Times New Roman" w:eastAsia="Times New Roman"/>
          <w:b w:val="0"/>
          <w:i w:val="0"/>
          <w:sz w:val="24"/>
        </w:rPr>
        <w:t>3. Bước 3: Phòng Nhân sự và Pháp chế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17.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18.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kỷ luật lao động và xử lý vi phạm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và Pháp chế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BIÊN BẢN VI PHẠM NỘI QUY</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THƯ MỜI HỌP KỶ LUẬT</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MẪU BIÊN BẢN HỌP KỶ LUẬT</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MẪU QUYẾT ĐỊNH KỶ LUẬT</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MẪU CAM KẾT BẢO MẬT</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chế kỷ luật lao động, xử lý vi phạm nội quy và bảo mật thông tin;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kỷ luật lao động và xử lý vi phạm</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VSF/QD-NS-03/2026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chế kỷ luật lao động, xử lý vi phạm nội quy và bảo mật thông tin” được ban hành theo Quyết định số 07/2026/QĐ-VSF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VSF/QD-NS-03/2026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