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09/2026/QĐ-VSF-TCNS-01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BẢO HIỂM XÃ HỘI, BẢO HIỂM Y TẾ, BẢO HIỂM THẤT NGHIỆP VÀ BẢO HỘ LAO ĐỘNG</w:t>
      </w:r>
    </w:p>
    <w:p>
      <w:pPr>
        <w:spacing w:after="100" w:before="0" w:line="269" w:lineRule="auto"/>
        <w:jc w:val="center"/>
      </w:pPr>
      <w:r>
        <w:rPr>
          <w:rFonts w:ascii="Times New Roman" w:hAnsi="Times New Roman" w:eastAsia="Times New Roman"/>
          <w:b w:val="0"/>
          <w:i/>
          <w:sz w:val="24"/>
        </w:rPr>
        <w:t>(Ban hành kèm theo Quyết định số 09/2026/QĐ-VSF-TCNS-01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VSF-TCNS-01-V2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Nhân sự và Phòng Tài chính</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09/2026/QĐ-VSF-TCNS-01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bảo hiểm xã hội, bảo hiểm y tế, bảo hiểm thất nghiệp và bảo hộ lao động</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bảo hiểm xã hội, bảo hiểm y tế, bảo hiểm thất nghiệp và bảo hộ lao động”.</w:t>
      </w:r>
    </w:p>
    <w:p>
      <w:pPr>
        <w:spacing w:after="100" w:before="0" w:line="269" w:lineRule="auto"/>
      </w:pPr>
      <w:r>
        <w:rPr>
          <w:rFonts w:ascii="Times New Roman" w:hAnsi="Times New Roman" w:eastAsia="Times New Roman"/>
          <w:b w:val="0"/>
          <w:i w:val="0"/>
          <w:sz w:val="24"/>
        </w:rPr>
        <w:t>Điều 2. Phòng Nhân sự và Phòng Tài chính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Bảo Hiểm Và Bảo Hộ Lao Động</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BHXH, BHYT, BHTN, chế độ ốm đau, thai sản, tai nạn lao động và PPE.</w:t>
      </w:r>
    </w:p>
    <w:p>
      <w:pPr>
        <w:spacing w:after="80" w:before="0" w:line="269" w:lineRule="auto"/>
        <w:ind w:firstLine="283"/>
      </w:pPr>
      <w:r>
        <w:rPr>
          <w:rFonts w:ascii="Times New Roman" w:hAnsi="Times New Roman" w:eastAsia="Times New Roman"/>
          <w:b w:val="0"/>
          <w:i w:val="0"/>
          <w:sz w:val="24"/>
        </w:rPr>
        <w:t>2. Nội dung chỉ áp dụng trong phạm vi BHXH, BHYT, BHTN, chế độ ốm đau, thai sản, tai nạn lao động và PPE;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Nhân sự và Phòng Tài chính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BẢO HIỂM VÀ BẢO HỘ LAO ĐỘNG</w:t>
      </w:r>
    </w:p>
    <w:p>
      <w:pPr>
        <w:spacing w:after="100" w:before="80" w:line="269" w:lineRule="auto"/>
      </w:pPr>
      <w:r>
        <w:rPr>
          <w:rFonts w:ascii="Times New Roman" w:hAnsi="Times New Roman" w:eastAsia="Times New Roman"/>
          <w:b/>
          <w:i w:val="0"/>
          <w:sz w:val="26"/>
        </w:rPr>
        <w:t>Điều 5. Đối tượng, mức đóng và dữ liệu bảo hiểm</w:t>
      </w:r>
    </w:p>
    <w:p>
      <w:pPr>
        <w:spacing w:after="80" w:before="0" w:line="269" w:lineRule="auto"/>
        <w:ind w:firstLine="283"/>
      </w:pPr>
      <w:r>
        <w:rPr>
          <w:rFonts w:ascii="Times New Roman" w:hAnsi="Times New Roman" w:eastAsia="Times New Roman"/>
          <w:b w:val="0"/>
          <w:i w:val="0"/>
          <w:sz w:val="24"/>
        </w:rPr>
        <w:t>1. Người lao động ký hợp đồng thuộc diện tham gia bảo hiểm bắt buộc được Công ty đăng ký BHXH, BHYT, BHTN theo quy định.</w:t>
      </w:r>
    </w:p>
    <w:p>
      <w:pPr>
        <w:spacing w:after="80" w:before="0" w:line="269" w:lineRule="auto"/>
        <w:ind w:firstLine="283"/>
      </w:pPr>
      <w:r>
        <w:rPr>
          <w:rFonts w:ascii="Times New Roman" w:hAnsi="Times New Roman" w:eastAsia="Times New Roman"/>
          <w:b w:val="0"/>
          <w:i w:val="0"/>
          <w:sz w:val="24"/>
        </w:rPr>
        <w:t>2. Thông tin làm căn cứ đóng bảo hiểm gồm họ tên, mã số BHXH, CCCD, ngày sinh, mức lương đóng, chức danh, ngày hiệu lực hợp đồng và địa chỉ liên hệ.</w:t>
      </w:r>
    </w:p>
    <w:p>
      <w:pPr>
        <w:spacing w:after="80" w:before="0" w:line="269" w:lineRule="auto"/>
        <w:ind w:firstLine="283"/>
      </w:pPr>
      <w:r>
        <w:rPr>
          <w:rFonts w:ascii="Times New Roman" w:hAnsi="Times New Roman" w:eastAsia="Times New Roman"/>
          <w:b w:val="0"/>
          <w:i w:val="0"/>
          <w:sz w:val="24"/>
        </w:rPr>
        <w:t>3. Tỷ lệ đóng tham chiếu hiện hành: người sử dụng lao động 21,5% và người lao động 10,5% trên tiền lương tháng làm căn cứ đóng, hoặc theo tỷ lệ pháp luật cập nhật tại thời điểm áp dụng.</w:t>
      </w:r>
    </w:p>
    <w:p>
      <w:pPr>
        <w:spacing w:after="80" w:before="0" w:line="269" w:lineRule="auto"/>
        <w:ind w:firstLine="283"/>
      </w:pPr>
      <w:r>
        <w:rPr>
          <w:rFonts w:ascii="Times New Roman" w:hAnsi="Times New Roman" w:eastAsia="Times New Roman"/>
          <w:b w:val="0"/>
          <w:i w:val="0"/>
          <w:sz w:val="24"/>
        </w:rPr>
        <w:t>4. HR đối chiếu dữ liệu bảo hiểm với hợp đồng, quyết định lương và bảng lương trước ngày 20 hằng tháng.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Khoản bảo hiểm</w:t>
            </w:r>
          </w:p>
        </w:tc>
        <w:tc>
          <w:tcPr>
            <w:tcW w:type="dxa" w:w="3305"/>
            <w:vAlign w:val="center"/>
          </w:tcPr>
          <w:p>
            <w:pPr>
              <w:spacing w:after="0" w:line="240" w:lineRule="auto"/>
              <w:jc w:val="center"/>
            </w:pPr>
            <w:r/>
            <w:r>
              <w:rPr>
                <w:rFonts w:ascii="Times New Roman" w:hAnsi="Times New Roman" w:eastAsia="Times New Roman"/>
                <w:b/>
                <w:i w:val="0"/>
                <w:sz w:val="18"/>
              </w:rPr>
              <w:t>Công ty đóng tham chiếu</w:t>
            </w:r>
          </w:p>
        </w:tc>
        <w:tc>
          <w:tcPr>
            <w:tcW w:type="dxa" w:w="3305"/>
            <w:vAlign w:val="center"/>
          </w:tcPr>
          <w:p>
            <w:pPr>
              <w:spacing w:after="0" w:line="240" w:lineRule="auto"/>
              <w:jc w:val="center"/>
            </w:pPr>
            <w:r/>
            <w:r>
              <w:rPr>
                <w:rFonts w:ascii="Times New Roman" w:hAnsi="Times New Roman" w:eastAsia="Times New Roman"/>
                <w:b/>
                <w:i w:val="0"/>
                <w:sz w:val="18"/>
              </w:rPr>
              <w:t>Người lao động đóng tham chiếu</w:t>
            </w:r>
          </w:p>
        </w:tc>
      </w:tr>
      <w:tr>
        <w:tc>
          <w:tcPr>
            <w:tcW w:type="dxa" w:w="3305"/>
            <w:vAlign w:val="center"/>
          </w:tcPr>
          <w:p>
            <w:pPr>
              <w:spacing w:after="0" w:line="240" w:lineRule="auto"/>
            </w:pPr>
            <w:r/>
            <w:r>
              <w:rPr>
                <w:rFonts w:ascii="Times New Roman" w:hAnsi="Times New Roman" w:eastAsia="Times New Roman"/>
                <w:b w:val="0"/>
                <w:i w:val="0"/>
                <w:sz w:val="18"/>
              </w:rPr>
              <w:t>BHXH</w:t>
            </w:r>
          </w:p>
        </w:tc>
        <w:tc>
          <w:tcPr>
            <w:tcW w:type="dxa" w:w="3305"/>
            <w:vAlign w:val="center"/>
          </w:tcPr>
          <w:p>
            <w:pPr>
              <w:spacing w:after="0" w:line="240" w:lineRule="auto"/>
            </w:pPr>
            <w:r/>
            <w:r>
              <w:rPr>
                <w:rFonts w:ascii="Times New Roman" w:hAnsi="Times New Roman" w:eastAsia="Times New Roman"/>
                <w:b w:val="0"/>
                <w:i w:val="0"/>
                <w:sz w:val="18"/>
              </w:rPr>
              <w:t>17,5%</w:t>
            </w:r>
          </w:p>
        </w:tc>
        <w:tc>
          <w:tcPr>
            <w:tcW w:type="dxa" w:w="3305"/>
            <w:vAlign w:val="center"/>
          </w:tcPr>
          <w:p>
            <w:pPr>
              <w:spacing w:after="0" w:line="240" w:lineRule="auto"/>
            </w:pPr>
            <w:r/>
            <w:r>
              <w:rPr>
                <w:rFonts w:ascii="Times New Roman" w:hAnsi="Times New Roman" w:eastAsia="Times New Roman"/>
                <w:b w:val="0"/>
                <w:i w:val="0"/>
                <w:sz w:val="18"/>
              </w:rPr>
              <w:t>8%</w:t>
            </w:r>
          </w:p>
        </w:tc>
      </w:tr>
      <w:tr>
        <w:tc>
          <w:tcPr>
            <w:tcW w:type="dxa" w:w="3305"/>
            <w:vAlign w:val="center"/>
          </w:tcPr>
          <w:p>
            <w:pPr>
              <w:spacing w:after="0" w:line="240" w:lineRule="auto"/>
            </w:pPr>
            <w:r/>
            <w:r>
              <w:rPr>
                <w:rFonts w:ascii="Times New Roman" w:hAnsi="Times New Roman" w:eastAsia="Times New Roman"/>
                <w:b w:val="0"/>
                <w:i w:val="0"/>
                <w:sz w:val="18"/>
              </w:rPr>
              <w:t>BHYT</w:t>
            </w:r>
          </w:p>
        </w:tc>
        <w:tc>
          <w:tcPr>
            <w:tcW w:type="dxa" w:w="3305"/>
            <w:vAlign w:val="center"/>
          </w:tcPr>
          <w:p>
            <w:pPr>
              <w:spacing w:after="0" w:line="240" w:lineRule="auto"/>
            </w:pPr>
            <w:r/>
            <w:r>
              <w:rPr>
                <w:rFonts w:ascii="Times New Roman" w:hAnsi="Times New Roman" w:eastAsia="Times New Roman"/>
                <w:b w:val="0"/>
                <w:i w:val="0"/>
                <w:sz w:val="18"/>
              </w:rPr>
              <w:t>3%</w:t>
            </w:r>
          </w:p>
        </w:tc>
        <w:tc>
          <w:tcPr>
            <w:tcW w:type="dxa" w:w="3305"/>
            <w:vAlign w:val="center"/>
          </w:tcPr>
          <w:p>
            <w:pPr>
              <w:spacing w:after="0" w:line="240" w:lineRule="auto"/>
            </w:pPr>
            <w:r/>
            <w:r>
              <w:rPr>
                <w:rFonts w:ascii="Times New Roman" w:hAnsi="Times New Roman" w:eastAsia="Times New Roman"/>
                <w:b w:val="0"/>
                <w:i w:val="0"/>
                <w:sz w:val="18"/>
              </w:rPr>
              <w:t>1,5%</w:t>
            </w:r>
          </w:p>
        </w:tc>
      </w:tr>
      <w:tr>
        <w:tc>
          <w:tcPr>
            <w:tcW w:type="dxa" w:w="3305"/>
            <w:vAlign w:val="center"/>
          </w:tcPr>
          <w:p>
            <w:pPr>
              <w:spacing w:after="0" w:line="240" w:lineRule="auto"/>
            </w:pPr>
            <w:r/>
            <w:r>
              <w:rPr>
                <w:rFonts w:ascii="Times New Roman" w:hAnsi="Times New Roman" w:eastAsia="Times New Roman"/>
                <w:b w:val="0"/>
                <w:i w:val="0"/>
                <w:sz w:val="18"/>
              </w:rPr>
              <w:t>BHTN</w:t>
            </w:r>
          </w:p>
        </w:tc>
        <w:tc>
          <w:tcPr>
            <w:tcW w:type="dxa" w:w="3305"/>
            <w:vAlign w:val="center"/>
          </w:tcPr>
          <w:p>
            <w:pPr>
              <w:spacing w:after="0" w:line="240" w:lineRule="auto"/>
            </w:pPr>
            <w:r/>
            <w:r>
              <w:rPr>
                <w:rFonts w:ascii="Times New Roman" w:hAnsi="Times New Roman" w:eastAsia="Times New Roman"/>
                <w:b w:val="0"/>
                <w:i w:val="0"/>
                <w:sz w:val="18"/>
              </w:rPr>
              <w:t>1%</w:t>
            </w:r>
          </w:p>
        </w:tc>
        <w:tc>
          <w:tcPr>
            <w:tcW w:type="dxa" w:w="3305"/>
            <w:vAlign w:val="center"/>
          </w:tcPr>
          <w:p>
            <w:pPr>
              <w:spacing w:after="0" w:line="240" w:lineRule="auto"/>
            </w:pPr>
            <w:r/>
            <w:r>
              <w:rPr>
                <w:rFonts w:ascii="Times New Roman" w:hAnsi="Times New Roman" w:eastAsia="Times New Roman"/>
                <w:b w:val="0"/>
                <w:i w:val="0"/>
                <w:sz w:val="18"/>
              </w:rPr>
              <w:t>1%</w:t>
            </w:r>
          </w:p>
        </w:tc>
      </w:tr>
      <w:tr>
        <w:tc>
          <w:tcPr>
            <w:tcW w:type="dxa" w:w="3305"/>
            <w:vAlign w:val="center"/>
          </w:tcPr>
          <w:p>
            <w:pPr>
              <w:spacing w:after="0" w:line="240" w:lineRule="auto"/>
            </w:pPr>
            <w:r/>
            <w:r>
              <w:rPr>
                <w:rFonts w:ascii="Times New Roman" w:hAnsi="Times New Roman" w:eastAsia="Times New Roman"/>
                <w:b w:val="0"/>
                <w:i w:val="0"/>
                <w:sz w:val="18"/>
              </w:rPr>
              <w:t>Tổng</w:t>
            </w:r>
          </w:p>
        </w:tc>
        <w:tc>
          <w:tcPr>
            <w:tcW w:type="dxa" w:w="3305"/>
            <w:vAlign w:val="center"/>
          </w:tcPr>
          <w:p>
            <w:pPr>
              <w:spacing w:after="0" w:line="240" w:lineRule="auto"/>
            </w:pPr>
            <w:r/>
            <w:r>
              <w:rPr>
                <w:rFonts w:ascii="Times New Roman" w:hAnsi="Times New Roman" w:eastAsia="Times New Roman"/>
                <w:b w:val="0"/>
                <w:i w:val="0"/>
                <w:sz w:val="18"/>
              </w:rPr>
              <w:t>21,5%</w:t>
            </w:r>
          </w:p>
        </w:tc>
        <w:tc>
          <w:tcPr>
            <w:tcW w:type="dxa" w:w="3305"/>
            <w:vAlign w:val="center"/>
          </w:tcPr>
          <w:p>
            <w:pPr>
              <w:spacing w:after="0" w:line="240" w:lineRule="auto"/>
            </w:pPr>
            <w:r/>
            <w:r>
              <w:rPr>
                <w:rFonts w:ascii="Times New Roman" w:hAnsi="Times New Roman" w:eastAsia="Times New Roman"/>
                <w:b w:val="0"/>
                <w:i w:val="0"/>
                <w:sz w:val="18"/>
              </w:rPr>
              <w:t>10,5%</w:t>
            </w:r>
          </w:p>
        </w:tc>
      </w:tr>
    </w:tbl>
    <w:p>
      <w:pPr>
        <w:spacing w:after="40" w:before="0" w:line="269" w:lineRule="auto"/>
      </w:pPr>
    </w:p>
    <w:p>
      <w:pPr>
        <w:spacing w:after="100" w:before="80" w:line="269" w:lineRule="auto"/>
      </w:pPr>
      <w:r>
        <w:rPr>
          <w:rFonts w:ascii="Times New Roman" w:hAnsi="Times New Roman" w:eastAsia="Times New Roman"/>
          <w:b/>
          <w:i w:val="0"/>
          <w:sz w:val="26"/>
        </w:rPr>
        <w:t>Điều 6. Chế độ ốm đau</w:t>
      </w:r>
    </w:p>
    <w:p>
      <w:pPr>
        <w:spacing w:after="80" w:before="0" w:line="269" w:lineRule="auto"/>
        <w:ind w:firstLine="283"/>
      </w:pPr>
      <w:r>
        <w:rPr>
          <w:rFonts w:ascii="Times New Roman" w:hAnsi="Times New Roman" w:eastAsia="Times New Roman"/>
          <w:b w:val="0"/>
          <w:i w:val="0"/>
          <w:sz w:val="24"/>
        </w:rPr>
        <w:t>1. Người lao động nghỉ ốm theo chỉ định của cơ sở khám chữa bệnh phải nộp giấy ra viện/giấy chứng nhận nghỉ việc hưởng BHXH hoặc hồ sơ y tế hợp lệ.</w:t>
      </w:r>
    </w:p>
    <w:p>
      <w:pPr>
        <w:spacing w:after="80" w:before="0" w:line="269" w:lineRule="auto"/>
        <w:ind w:firstLine="283"/>
      </w:pPr>
      <w:r>
        <w:rPr>
          <w:rFonts w:ascii="Times New Roman" w:hAnsi="Times New Roman" w:eastAsia="Times New Roman"/>
          <w:b w:val="0"/>
          <w:i w:val="0"/>
          <w:sz w:val="24"/>
        </w:rPr>
        <w:t>2. Thời gian hưởng chế độ ốm đau tham chiếu: 30 ngày/năm nếu đã đóng BHXH dưới 15 năm; 40 ngày/năm nếu từ đủ 15 năm đến dưới 30 năm; 60 ngày/năm nếu từ đủ 30 năm trở lên, với điều kiện làm việc bình thường.</w:t>
      </w:r>
    </w:p>
    <w:p>
      <w:pPr>
        <w:spacing w:after="80" w:before="0" w:line="269" w:lineRule="auto"/>
        <w:ind w:firstLine="283"/>
      </w:pPr>
      <w:r>
        <w:rPr>
          <w:rFonts w:ascii="Times New Roman" w:hAnsi="Times New Roman" w:eastAsia="Times New Roman"/>
          <w:b w:val="0"/>
          <w:i w:val="0"/>
          <w:sz w:val="24"/>
        </w:rPr>
        <w:t>3. Hồ sơ ốm đau gửi HR trong vòng 05 ngày làm việc kể từ ngày quay lại làm việc để kịp lập hồ sơ gửi cơ quan BHXH.</w:t>
      </w:r>
    </w:p>
    <w:p>
      <w:pPr>
        <w:spacing w:after="80" w:before="0" w:line="269" w:lineRule="auto"/>
        <w:ind w:firstLine="283"/>
      </w:pPr>
      <w:r>
        <w:rPr>
          <w:rFonts w:ascii="Times New Roman" w:hAnsi="Times New Roman" w:eastAsia="Times New Roman"/>
          <w:b w:val="0"/>
          <w:i w:val="0"/>
          <w:sz w:val="24"/>
        </w:rPr>
        <w:t>4. Trường hợp nghỉ do tai nạn không liên quan công việc hoặc bệnh dài ngày, HR hướng dẫn hồ sơ riêng theo quy định.</w:t>
      </w:r>
    </w:p>
    <w:p>
      <w:pPr>
        <w:spacing w:after="100" w:before="80" w:line="269" w:lineRule="auto"/>
      </w:pPr>
      <w:r>
        <w:rPr>
          <w:rFonts w:ascii="Times New Roman" w:hAnsi="Times New Roman" w:eastAsia="Times New Roman"/>
          <w:b/>
          <w:i w:val="0"/>
          <w:sz w:val="26"/>
        </w:rPr>
        <w:t>Điều 7. Chế độ thai sản và nuôi con nhỏ</w:t>
      </w:r>
    </w:p>
    <w:p>
      <w:pPr>
        <w:spacing w:after="80" w:before="0" w:line="269" w:lineRule="auto"/>
        <w:ind w:firstLine="283"/>
      </w:pPr>
      <w:r>
        <w:rPr>
          <w:rFonts w:ascii="Times New Roman" w:hAnsi="Times New Roman" w:eastAsia="Times New Roman"/>
          <w:b w:val="0"/>
          <w:i w:val="0"/>
          <w:sz w:val="24"/>
        </w:rPr>
        <w:t>1. Lao động nữ đủ điều kiện được nghỉ thai sản 06 tháng; trường hợp sinh đôi trở lên, từ con thứ hai trở đi được nghỉ thêm 01 tháng cho mỗi con.</w:t>
      </w:r>
    </w:p>
    <w:p>
      <w:pPr>
        <w:spacing w:after="80" w:before="0" w:line="269" w:lineRule="auto"/>
        <w:ind w:firstLine="283"/>
      </w:pPr>
      <w:r>
        <w:rPr>
          <w:rFonts w:ascii="Times New Roman" w:hAnsi="Times New Roman" w:eastAsia="Times New Roman"/>
          <w:b w:val="0"/>
          <w:i w:val="0"/>
          <w:sz w:val="24"/>
        </w:rPr>
        <w:t>2. Người lao động phải thông báo kế hoạch nghỉ thai sản dự kiến trước ngày nghỉ tối thiểu 30 ngày, trừ trường hợp sinh sớm hoặc chỉ định y tế đột xuất.</w:t>
      </w:r>
    </w:p>
    <w:p>
      <w:pPr>
        <w:spacing w:after="80" w:before="0" w:line="269" w:lineRule="auto"/>
        <w:ind w:firstLine="283"/>
      </w:pPr>
      <w:r>
        <w:rPr>
          <w:rFonts w:ascii="Times New Roman" w:hAnsi="Times New Roman" w:eastAsia="Times New Roman"/>
          <w:b w:val="0"/>
          <w:i w:val="0"/>
          <w:sz w:val="24"/>
        </w:rPr>
        <w:t>3. Hồ sơ thai sản gồm giấy khai sinh/giấy chứng sinh, giấy ra viện nếu có, thông tin tài khoản nhận chế độ và biểu mẫu do HR cung cấp.</w:t>
      </w:r>
    </w:p>
    <w:p>
      <w:pPr>
        <w:spacing w:after="80" w:before="0" w:line="269" w:lineRule="auto"/>
        <w:ind w:firstLine="283"/>
      </w:pPr>
      <w:r>
        <w:rPr>
          <w:rFonts w:ascii="Times New Roman" w:hAnsi="Times New Roman" w:eastAsia="Times New Roman"/>
          <w:b w:val="0"/>
          <w:i w:val="0"/>
          <w:sz w:val="24"/>
        </w:rPr>
        <w:t>4. Khi quay lại làm việc, người lao động nuôi con dưới 12 tháng được hưởng thời gian nghỉ cho con bú/nghỉ trong ngày theo quy định pháp luật và sắp xếp của quản lý.</w:t>
      </w:r>
    </w:p>
    <w:p>
      <w:pPr>
        <w:spacing w:after="100" w:before="80" w:line="269" w:lineRule="auto"/>
      </w:pPr>
      <w:r>
        <w:rPr>
          <w:rFonts w:ascii="Times New Roman" w:hAnsi="Times New Roman" w:eastAsia="Times New Roman"/>
          <w:b/>
          <w:i w:val="0"/>
          <w:sz w:val="26"/>
        </w:rPr>
        <w:t>Điều 8. Tai nạn lao động và sự cố an toàn</w:t>
      </w:r>
    </w:p>
    <w:p>
      <w:pPr>
        <w:spacing w:after="80" w:before="0" w:line="269" w:lineRule="auto"/>
        <w:ind w:firstLine="283"/>
      </w:pPr>
      <w:r>
        <w:rPr>
          <w:rFonts w:ascii="Times New Roman" w:hAnsi="Times New Roman" w:eastAsia="Times New Roman"/>
          <w:b w:val="0"/>
          <w:i w:val="0"/>
          <w:sz w:val="24"/>
        </w:rPr>
        <w:t>1. Tai nạn lao động, sự cố suýt gây tai nạn hoặc bệnh nghề nghiệp nghi ngờ phải được báo cho quản lý, Hành chính và HR trong vòng 30 phút.</w:t>
      </w:r>
    </w:p>
    <w:p>
      <w:pPr>
        <w:spacing w:after="80" w:before="0" w:line="269" w:lineRule="auto"/>
        <w:ind w:firstLine="283"/>
      </w:pPr>
      <w:r>
        <w:rPr>
          <w:rFonts w:ascii="Times New Roman" w:hAnsi="Times New Roman" w:eastAsia="Times New Roman"/>
          <w:b w:val="0"/>
          <w:i w:val="0"/>
          <w:sz w:val="24"/>
        </w:rPr>
        <w:t>2. Hiện trường phải được giữ nguyên trong khả năng an toàn; trường hợp cần cứu người hoặc ngăn nguy cơ tiếp diễn thì ưu tiên bảo vệ tính mạng, sau đó lập biên bản.</w:t>
      </w:r>
    </w:p>
    <w:p>
      <w:pPr>
        <w:spacing w:after="80" w:before="0" w:line="269" w:lineRule="auto"/>
        <w:ind w:firstLine="283"/>
      </w:pPr>
      <w:r>
        <w:rPr>
          <w:rFonts w:ascii="Times New Roman" w:hAnsi="Times New Roman" w:eastAsia="Times New Roman"/>
          <w:b w:val="0"/>
          <w:i w:val="0"/>
          <w:sz w:val="24"/>
        </w:rPr>
        <w:t>3. Hồ sơ gồm biên bản sự cố, lời khai, hình ảnh, chứng từ y tế, thông tin nhân chứng, kết luận điều tra nếu có và đề xuất khắc phục.</w:t>
      </w:r>
    </w:p>
    <w:p>
      <w:pPr>
        <w:spacing w:after="80" w:before="0" w:line="269" w:lineRule="auto"/>
        <w:ind w:firstLine="283"/>
      </w:pPr>
      <w:r>
        <w:rPr>
          <w:rFonts w:ascii="Times New Roman" w:hAnsi="Times New Roman" w:eastAsia="Times New Roman"/>
          <w:b w:val="0"/>
          <w:i w:val="0"/>
          <w:sz w:val="24"/>
        </w:rPr>
        <w:t>4. Công ty chi trả/hỗ trợ theo trách nhiệm pháp luật, bảo hiểm và chính sách phúc lợi hiện hành.</w:t>
      </w:r>
    </w:p>
    <w:p>
      <w:pPr>
        <w:spacing w:after="100" w:before="80" w:line="269" w:lineRule="auto"/>
      </w:pPr>
      <w:r>
        <w:rPr>
          <w:rFonts w:ascii="Times New Roman" w:hAnsi="Times New Roman" w:eastAsia="Times New Roman"/>
          <w:b/>
          <w:i w:val="0"/>
          <w:sz w:val="26"/>
        </w:rPr>
        <w:t>Điều 9. Trang thiết bị bảo hộ lao động PPE</w:t>
      </w:r>
    </w:p>
    <w:p>
      <w:pPr>
        <w:spacing w:after="80" w:before="0" w:line="269" w:lineRule="auto"/>
        <w:ind w:firstLine="283"/>
      </w:pPr>
      <w:r>
        <w:rPr>
          <w:rFonts w:ascii="Times New Roman" w:hAnsi="Times New Roman" w:eastAsia="Times New Roman"/>
          <w:b w:val="0"/>
          <w:i w:val="0"/>
          <w:sz w:val="24"/>
        </w:rPr>
        <w:t>1. PPE được cấp theo vị trí làm việc: kho, nhà máy, kỹ thuật, bảo trì, IT hạ tầng, phòng thí nghiệm hoặc công việc có yếu tố nguy hiểm.</w:t>
      </w:r>
    </w:p>
    <w:p>
      <w:pPr>
        <w:spacing w:after="80" w:before="0" w:line="269" w:lineRule="auto"/>
        <w:ind w:firstLine="283"/>
      </w:pPr>
      <w:r>
        <w:rPr>
          <w:rFonts w:ascii="Times New Roman" w:hAnsi="Times New Roman" w:eastAsia="Times New Roman"/>
          <w:b w:val="0"/>
          <w:i w:val="0"/>
          <w:sz w:val="24"/>
        </w:rPr>
        <w:t>2. Người lao động phải sử dụng PPE đúng loại, đúng cách, không tự ý bán, cho mượn, thay thế bằng thiết bị không đạt chuẩn hoặc vào khu vực yêu cầu PPE khi chưa trang bị đủ.</w:t>
      </w:r>
    </w:p>
    <w:p>
      <w:pPr>
        <w:spacing w:after="80" w:before="0" w:line="269" w:lineRule="auto"/>
        <w:ind w:firstLine="283"/>
      </w:pPr>
      <w:r>
        <w:rPr>
          <w:rFonts w:ascii="Times New Roman" w:hAnsi="Times New Roman" w:eastAsia="Times New Roman"/>
          <w:b w:val="0"/>
          <w:i w:val="0"/>
          <w:sz w:val="24"/>
        </w:rPr>
        <w:t>3. PPE hỏng do hao mòn trong quá trình làm việc được đổi miễn phí; hỏng/mất do lỗi cá nhân phải giải trình và có thể bồi hoàn theo định mức.</w:t>
      </w:r>
    </w:p>
    <w:p>
      <w:pPr>
        <w:spacing w:after="80" w:before="0" w:line="269" w:lineRule="auto"/>
        <w:ind w:firstLine="283"/>
      </w:pPr>
      <w:r>
        <w:rPr>
          <w:rFonts w:ascii="Times New Roman" w:hAnsi="Times New Roman" w:eastAsia="Times New Roman"/>
          <w:b w:val="0"/>
          <w:i w:val="0"/>
          <w:sz w:val="24"/>
        </w:rPr>
        <w:t>4. Đơn vị quản lý PPE kiểm kê tối thiểu 01 lần/quý và đào tạo an toàn đầu ca cho nhân sự thuộc khu vực rủi ro cao.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Nhóm vị trí</w:t>
            </w:r>
          </w:p>
        </w:tc>
        <w:tc>
          <w:tcPr>
            <w:tcW w:type="dxa" w:w="3305"/>
            <w:vAlign w:val="center"/>
          </w:tcPr>
          <w:p>
            <w:pPr>
              <w:spacing w:after="0" w:line="240" w:lineRule="auto"/>
              <w:jc w:val="center"/>
            </w:pPr>
            <w:r/>
            <w:r>
              <w:rPr>
                <w:rFonts w:ascii="Times New Roman" w:hAnsi="Times New Roman" w:eastAsia="Times New Roman"/>
                <w:b/>
                <w:i w:val="0"/>
                <w:sz w:val="18"/>
              </w:rPr>
              <w:t>PPE bắt buộc</w:t>
            </w:r>
          </w:p>
        </w:tc>
        <w:tc>
          <w:tcPr>
            <w:tcW w:type="dxa" w:w="3305"/>
            <w:vAlign w:val="center"/>
          </w:tcPr>
          <w:p>
            <w:pPr>
              <w:spacing w:after="0" w:line="240" w:lineRule="auto"/>
              <w:jc w:val="center"/>
            </w:pPr>
            <w:r/>
            <w:r>
              <w:rPr>
                <w:rFonts w:ascii="Times New Roman" w:hAnsi="Times New Roman" w:eastAsia="Times New Roman"/>
                <w:b/>
                <w:i w:val="0"/>
                <w:sz w:val="18"/>
              </w:rPr>
              <w:t>Chu kỳ cấp/đổi</w:t>
            </w:r>
          </w:p>
        </w:tc>
      </w:tr>
      <w:tr>
        <w:tc>
          <w:tcPr>
            <w:tcW w:type="dxa" w:w="3305"/>
            <w:vAlign w:val="center"/>
          </w:tcPr>
          <w:p>
            <w:pPr>
              <w:spacing w:after="0" w:line="240" w:lineRule="auto"/>
            </w:pPr>
            <w:r/>
            <w:r>
              <w:rPr>
                <w:rFonts w:ascii="Times New Roman" w:hAnsi="Times New Roman" w:eastAsia="Times New Roman"/>
                <w:b w:val="0"/>
                <w:i w:val="0"/>
                <w:sz w:val="18"/>
              </w:rPr>
              <w:t>Kho vận</w:t>
            </w:r>
          </w:p>
        </w:tc>
        <w:tc>
          <w:tcPr>
            <w:tcW w:type="dxa" w:w="3305"/>
            <w:vAlign w:val="center"/>
          </w:tcPr>
          <w:p>
            <w:pPr>
              <w:spacing w:after="0" w:line="240" w:lineRule="auto"/>
            </w:pPr>
            <w:r/>
            <w:r>
              <w:rPr>
                <w:rFonts w:ascii="Times New Roman" w:hAnsi="Times New Roman" w:eastAsia="Times New Roman"/>
                <w:b w:val="0"/>
                <w:i w:val="0"/>
                <w:sz w:val="18"/>
              </w:rPr>
              <w:t>Giày bảo hộ, áo phản quang, găng tay, mũ bảo hộ</w:t>
            </w:r>
          </w:p>
        </w:tc>
        <w:tc>
          <w:tcPr>
            <w:tcW w:type="dxa" w:w="3305"/>
            <w:vAlign w:val="center"/>
          </w:tcPr>
          <w:p>
            <w:pPr>
              <w:spacing w:after="0" w:line="240" w:lineRule="auto"/>
            </w:pPr>
            <w:r/>
            <w:r>
              <w:rPr>
                <w:rFonts w:ascii="Times New Roman" w:hAnsi="Times New Roman" w:eastAsia="Times New Roman"/>
                <w:b w:val="0"/>
                <w:i w:val="0"/>
                <w:sz w:val="18"/>
              </w:rPr>
              <w:t>06-12 tháng</w:t>
            </w:r>
          </w:p>
        </w:tc>
      </w:tr>
      <w:tr>
        <w:tc>
          <w:tcPr>
            <w:tcW w:type="dxa" w:w="3305"/>
            <w:vAlign w:val="center"/>
          </w:tcPr>
          <w:p>
            <w:pPr>
              <w:spacing w:after="0" w:line="240" w:lineRule="auto"/>
            </w:pPr>
            <w:r/>
            <w:r>
              <w:rPr>
                <w:rFonts w:ascii="Times New Roman" w:hAnsi="Times New Roman" w:eastAsia="Times New Roman"/>
                <w:b w:val="0"/>
                <w:i w:val="0"/>
                <w:sz w:val="18"/>
              </w:rPr>
              <w:t>Nhà máy/bảo trì</w:t>
            </w:r>
          </w:p>
        </w:tc>
        <w:tc>
          <w:tcPr>
            <w:tcW w:type="dxa" w:w="3305"/>
            <w:vAlign w:val="center"/>
          </w:tcPr>
          <w:p>
            <w:pPr>
              <w:spacing w:after="0" w:line="240" w:lineRule="auto"/>
            </w:pPr>
            <w:r/>
            <w:r>
              <w:rPr>
                <w:rFonts w:ascii="Times New Roman" w:hAnsi="Times New Roman" w:eastAsia="Times New Roman"/>
                <w:b w:val="0"/>
                <w:i w:val="0"/>
                <w:sz w:val="18"/>
              </w:rPr>
              <w:t>Mũ, kính, găng, nút tai, giày, khẩu trang chuyên dụng</w:t>
            </w:r>
          </w:p>
        </w:tc>
        <w:tc>
          <w:tcPr>
            <w:tcW w:type="dxa" w:w="3305"/>
            <w:vAlign w:val="center"/>
          </w:tcPr>
          <w:p>
            <w:pPr>
              <w:spacing w:after="0" w:line="240" w:lineRule="auto"/>
            </w:pPr>
            <w:r/>
            <w:r>
              <w:rPr>
                <w:rFonts w:ascii="Times New Roman" w:hAnsi="Times New Roman" w:eastAsia="Times New Roman"/>
                <w:b w:val="0"/>
                <w:i w:val="0"/>
                <w:sz w:val="18"/>
              </w:rPr>
              <w:t>03-12 tháng</w:t>
            </w:r>
          </w:p>
        </w:tc>
      </w:tr>
      <w:tr>
        <w:tc>
          <w:tcPr>
            <w:tcW w:type="dxa" w:w="3305"/>
            <w:vAlign w:val="center"/>
          </w:tcPr>
          <w:p>
            <w:pPr>
              <w:spacing w:after="0" w:line="240" w:lineRule="auto"/>
            </w:pPr>
            <w:r/>
            <w:r>
              <w:rPr>
                <w:rFonts w:ascii="Times New Roman" w:hAnsi="Times New Roman" w:eastAsia="Times New Roman"/>
                <w:b w:val="0"/>
                <w:i w:val="0"/>
                <w:sz w:val="18"/>
              </w:rPr>
              <w:t>IT hạ tầng/server</w:t>
            </w:r>
          </w:p>
        </w:tc>
        <w:tc>
          <w:tcPr>
            <w:tcW w:type="dxa" w:w="3305"/>
            <w:vAlign w:val="center"/>
          </w:tcPr>
          <w:p>
            <w:pPr>
              <w:spacing w:after="0" w:line="240" w:lineRule="auto"/>
            </w:pPr>
            <w:r/>
            <w:r>
              <w:rPr>
                <w:rFonts w:ascii="Times New Roman" w:hAnsi="Times New Roman" w:eastAsia="Times New Roman"/>
                <w:b w:val="0"/>
                <w:i w:val="0"/>
                <w:sz w:val="18"/>
              </w:rPr>
              <w:t>Dây chống tĩnh điện, găng, thẻ khu vực hạn chế</w:t>
            </w:r>
          </w:p>
        </w:tc>
        <w:tc>
          <w:tcPr>
            <w:tcW w:type="dxa" w:w="3305"/>
            <w:vAlign w:val="center"/>
          </w:tcPr>
          <w:p>
            <w:pPr>
              <w:spacing w:after="0" w:line="240" w:lineRule="auto"/>
            </w:pPr>
            <w:r/>
            <w:r>
              <w:rPr>
                <w:rFonts w:ascii="Times New Roman" w:hAnsi="Times New Roman" w:eastAsia="Times New Roman"/>
                <w:b w:val="0"/>
                <w:i w:val="0"/>
                <w:sz w:val="18"/>
              </w:rPr>
              <w:t>Theo nhu cầu</w:t>
            </w:r>
          </w:p>
        </w:tc>
      </w:tr>
      <w:tr>
        <w:tc>
          <w:tcPr>
            <w:tcW w:type="dxa" w:w="3305"/>
            <w:vAlign w:val="center"/>
          </w:tcPr>
          <w:p>
            <w:pPr>
              <w:spacing w:after="0" w:line="240" w:lineRule="auto"/>
            </w:pPr>
            <w:r/>
            <w:r>
              <w:rPr>
                <w:rFonts w:ascii="Times New Roman" w:hAnsi="Times New Roman" w:eastAsia="Times New Roman"/>
                <w:b w:val="0"/>
                <w:i w:val="0"/>
                <w:sz w:val="18"/>
              </w:rPr>
              <w:t>Văn phòng</w:t>
            </w:r>
          </w:p>
        </w:tc>
        <w:tc>
          <w:tcPr>
            <w:tcW w:type="dxa" w:w="3305"/>
            <w:vAlign w:val="center"/>
          </w:tcPr>
          <w:p>
            <w:pPr>
              <w:spacing w:after="0" w:line="240" w:lineRule="auto"/>
            </w:pPr>
            <w:r/>
            <w:r>
              <w:rPr>
                <w:rFonts w:ascii="Times New Roman" w:hAnsi="Times New Roman" w:eastAsia="Times New Roman"/>
                <w:b w:val="0"/>
                <w:i w:val="0"/>
                <w:sz w:val="18"/>
              </w:rPr>
              <w:t>Theo yêu cầu diễn tập/sự kiện an toàn</w:t>
            </w:r>
          </w:p>
        </w:tc>
        <w:tc>
          <w:tcPr>
            <w:tcW w:type="dxa" w:w="3305"/>
            <w:vAlign w:val="center"/>
          </w:tcPr>
          <w:p>
            <w:pPr>
              <w:spacing w:after="0" w:line="240" w:lineRule="auto"/>
            </w:pPr>
            <w:r/>
            <w:r>
              <w:rPr>
                <w:rFonts w:ascii="Times New Roman" w:hAnsi="Times New Roman" w:eastAsia="Times New Roman"/>
                <w:b w:val="0"/>
                <w:i w:val="0"/>
                <w:sz w:val="18"/>
              </w:rPr>
              <w:t>Khi phát sinh</w:t>
            </w:r>
          </w:p>
        </w:tc>
      </w:tr>
    </w:tbl>
    <w:p>
      <w:pPr>
        <w:spacing w:after="40" w:before="0" w:line="269" w:lineRule="auto"/>
      </w:pP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Nhân sự và Phòng Tài chính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Không nộp hồ sơ ốm đau/thai sản đúng hạn do lỗi cá nhân</w:t>
            </w:r>
          </w:p>
        </w:tc>
        <w:tc>
          <w:tcPr>
            <w:tcW w:type="dxa" w:w="3305"/>
            <w:vAlign w:val="center"/>
          </w:tcPr>
          <w:p>
            <w:pPr>
              <w:spacing w:after="0" w:line="240" w:lineRule="auto"/>
            </w:pPr>
            <w:r/>
            <w:r>
              <w:rPr>
                <w:rFonts w:ascii="Times New Roman" w:hAnsi="Times New Roman" w:eastAsia="Times New Roman"/>
                <w:b w:val="0"/>
                <w:i w:val="0"/>
                <w:sz w:val="18"/>
              </w:rPr>
              <w:t>Có thể chậm nhận chế độ; HR hỗ trợ bổ sung nhưng không chịu trách nhiệm phần quá hạn do cá nhân</w:t>
            </w:r>
          </w:p>
        </w:tc>
        <w:tc>
          <w:tcPr>
            <w:tcW w:type="dxa" w:w="3305"/>
            <w:vAlign w:val="center"/>
          </w:tcPr>
          <w:p>
            <w:pPr>
              <w:spacing w:after="0" w:line="240" w:lineRule="auto"/>
            </w:pPr>
            <w:r/>
            <w:r>
              <w:rPr>
                <w:rFonts w:ascii="Times New Roman" w:hAnsi="Times New Roman" w:eastAsia="Times New Roman"/>
                <w:b w:val="0"/>
                <w:i w:val="0"/>
                <w:sz w:val="18"/>
              </w:rPr>
              <w:t>05 ngày</w:t>
            </w:r>
          </w:p>
        </w:tc>
      </w:tr>
      <w:tr>
        <w:tc>
          <w:tcPr>
            <w:tcW w:type="dxa" w:w="3305"/>
            <w:vAlign w:val="center"/>
          </w:tcPr>
          <w:p>
            <w:pPr>
              <w:spacing w:after="0" w:line="240" w:lineRule="auto"/>
            </w:pPr>
            <w:r/>
            <w:r>
              <w:rPr>
                <w:rFonts w:ascii="Times New Roman" w:hAnsi="Times New Roman" w:eastAsia="Times New Roman"/>
                <w:b w:val="0"/>
                <w:i w:val="0"/>
                <w:sz w:val="18"/>
              </w:rPr>
              <w:t>Không dùng PPE trong khu vực bắt buộc</w:t>
            </w:r>
          </w:p>
        </w:tc>
        <w:tc>
          <w:tcPr>
            <w:tcW w:type="dxa" w:w="3305"/>
            <w:vAlign w:val="center"/>
          </w:tcPr>
          <w:p>
            <w:pPr>
              <w:spacing w:after="0" w:line="240" w:lineRule="auto"/>
            </w:pPr>
            <w:r/>
            <w:r>
              <w:rPr>
                <w:rFonts w:ascii="Times New Roman" w:hAnsi="Times New Roman" w:eastAsia="Times New Roman"/>
                <w:b w:val="0"/>
                <w:i w:val="0"/>
                <w:sz w:val="18"/>
              </w:rPr>
              <w:t>Dừng công việc ngay, đào tạo lại; tái phạm xem xét kỷ luật</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Làm mất PPE trước chu kỳ do lỗi cá nhân</w:t>
            </w:r>
          </w:p>
        </w:tc>
        <w:tc>
          <w:tcPr>
            <w:tcW w:type="dxa" w:w="3305"/>
            <w:vAlign w:val="center"/>
          </w:tcPr>
          <w:p>
            <w:pPr>
              <w:spacing w:after="0" w:line="240" w:lineRule="auto"/>
            </w:pPr>
            <w:r/>
            <w:r>
              <w:rPr>
                <w:rFonts w:ascii="Times New Roman" w:hAnsi="Times New Roman" w:eastAsia="Times New Roman"/>
                <w:b w:val="0"/>
                <w:i w:val="0"/>
                <w:sz w:val="18"/>
              </w:rPr>
              <w:t>Bồi hoàn 50-100% giá trị còn lại tùy biên bản</w:t>
            </w:r>
          </w:p>
        </w:tc>
        <w:tc>
          <w:tcPr>
            <w:tcW w:type="dxa" w:w="3305"/>
            <w:vAlign w:val="center"/>
          </w:tcPr>
          <w:p>
            <w:pPr>
              <w:spacing w:after="0" w:line="240" w:lineRule="auto"/>
            </w:pPr>
            <w:r/>
            <w:r>
              <w:rPr>
                <w:rFonts w:ascii="Times New Roman" w:hAnsi="Times New Roman" w:eastAsia="Times New Roman"/>
                <w:b w:val="0"/>
                <w:i w:val="0"/>
                <w:sz w:val="18"/>
              </w:rPr>
              <w:t>03 ngày</w:t>
            </w:r>
          </w:p>
        </w:tc>
      </w:tr>
      <w:tr>
        <w:tc>
          <w:tcPr>
            <w:tcW w:type="dxa" w:w="3305"/>
            <w:vAlign w:val="center"/>
          </w:tcPr>
          <w:p>
            <w:pPr>
              <w:spacing w:after="0" w:line="240" w:lineRule="auto"/>
            </w:pPr>
            <w:r/>
            <w:r>
              <w:rPr>
                <w:rFonts w:ascii="Times New Roman" w:hAnsi="Times New Roman" w:eastAsia="Times New Roman"/>
                <w:b w:val="0"/>
                <w:i w:val="0"/>
                <w:sz w:val="18"/>
              </w:rPr>
              <w:t>Không báo tai nạn/sự cố an toàn</w:t>
            </w:r>
          </w:p>
        </w:tc>
        <w:tc>
          <w:tcPr>
            <w:tcW w:type="dxa" w:w="3305"/>
            <w:vAlign w:val="center"/>
          </w:tcPr>
          <w:p>
            <w:pPr>
              <w:spacing w:after="0" w:line="240" w:lineRule="auto"/>
            </w:pPr>
            <w:r/>
            <w:r>
              <w:rPr>
                <w:rFonts w:ascii="Times New Roman" w:hAnsi="Times New Roman" w:eastAsia="Times New Roman"/>
                <w:b w:val="0"/>
                <w:i w:val="0"/>
                <w:sz w:val="18"/>
              </w:rPr>
              <w:t>Lập biên bản vi phạm, xem xét trách nhiệm tăng nặng nếu hậu quả mở rộng</w:t>
            </w:r>
          </w:p>
        </w:tc>
        <w:tc>
          <w:tcPr>
            <w:tcW w:type="dxa" w:w="3305"/>
            <w:vAlign w:val="center"/>
          </w:tcPr>
          <w:p>
            <w:pPr>
              <w:spacing w:after="0" w:line="240" w:lineRule="auto"/>
            </w:pPr>
            <w:r/>
            <w:r>
              <w:rPr>
                <w:rFonts w:ascii="Times New Roman" w:hAnsi="Times New Roman" w:eastAsia="Times New Roman"/>
                <w:b w:val="0"/>
                <w:i w:val="0"/>
                <w:sz w:val="18"/>
              </w:rPr>
              <w:t>Ngay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INS-01</w:t>
            </w:r>
          </w:p>
        </w:tc>
        <w:tc>
          <w:tcPr>
            <w:tcW w:type="dxa" w:w="3305"/>
            <w:vAlign w:val="center"/>
          </w:tcPr>
          <w:p>
            <w:pPr>
              <w:spacing w:after="0" w:line="240" w:lineRule="auto"/>
            </w:pPr>
            <w:r/>
            <w:r>
              <w:rPr>
                <w:rFonts w:ascii="Times New Roman" w:hAnsi="Times New Roman" w:eastAsia="Times New Roman"/>
                <w:b w:val="0"/>
                <w:i w:val="0"/>
                <w:sz w:val="18"/>
              </w:rPr>
              <w:t>Phiếu khai báo thông tin bảo hiểm</w:t>
            </w:r>
          </w:p>
        </w:tc>
        <w:tc>
          <w:tcPr>
            <w:tcW w:type="dxa" w:w="3305"/>
            <w:vAlign w:val="center"/>
          </w:tcPr>
          <w:p>
            <w:pPr>
              <w:spacing w:after="0" w:line="240" w:lineRule="auto"/>
            </w:pPr>
            <w:r/>
            <w:r>
              <w:rPr>
                <w:rFonts w:ascii="Times New Roman" w:hAnsi="Times New Roman" w:eastAsia="Times New Roman"/>
                <w:b w:val="0"/>
                <w:i w:val="0"/>
                <w:sz w:val="18"/>
              </w:rPr>
              <w:t>Khi onboarding/thay đổi thông tin</w:t>
            </w:r>
          </w:p>
        </w:tc>
      </w:tr>
      <w:tr>
        <w:tc>
          <w:tcPr>
            <w:tcW w:type="dxa" w:w="3305"/>
            <w:vAlign w:val="center"/>
          </w:tcPr>
          <w:p>
            <w:pPr>
              <w:spacing w:after="0" w:line="240" w:lineRule="auto"/>
            </w:pPr>
            <w:r/>
            <w:r>
              <w:rPr>
                <w:rFonts w:ascii="Times New Roman" w:hAnsi="Times New Roman" w:eastAsia="Times New Roman"/>
                <w:b w:val="0"/>
                <w:i w:val="0"/>
                <w:sz w:val="18"/>
              </w:rPr>
              <w:t>INS-02</w:t>
            </w:r>
          </w:p>
        </w:tc>
        <w:tc>
          <w:tcPr>
            <w:tcW w:type="dxa" w:w="3305"/>
            <w:vAlign w:val="center"/>
          </w:tcPr>
          <w:p>
            <w:pPr>
              <w:spacing w:after="0" w:line="240" w:lineRule="auto"/>
            </w:pPr>
            <w:r/>
            <w:r>
              <w:rPr>
                <w:rFonts w:ascii="Times New Roman" w:hAnsi="Times New Roman" w:eastAsia="Times New Roman"/>
                <w:b w:val="0"/>
                <w:i w:val="0"/>
                <w:sz w:val="18"/>
              </w:rPr>
              <w:t>Checklist hồ sơ ốm đau</w:t>
            </w:r>
          </w:p>
        </w:tc>
        <w:tc>
          <w:tcPr>
            <w:tcW w:type="dxa" w:w="3305"/>
            <w:vAlign w:val="center"/>
          </w:tcPr>
          <w:p>
            <w:pPr>
              <w:spacing w:after="0" w:line="240" w:lineRule="auto"/>
            </w:pPr>
            <w:r/>
            <w:r>
              <w:rPr>
                <w:rFonts w:ascii="Times New Roman" w:hAnsi="Times New Roman" w:eastAsia="Times New Roman"/>
                <w:b w:val="0"/>
                <w:i w:val="0"/>
                <w:sz w:val="18"/>
              </w:rPr>
              <w:t>Khi nghỉ ốm hưởng BHXH</w:t>
            </w:r>
          </w:p>
        </w:tc>
      </w:tr>
      <w:tr>
        <w:tc>
          <w:tcPr>
            <w:tcW w:type="dxa" w:w="3305"/>
            <w:vAlign w:val="center"/>
          </w:tcPr>
          <w:p>
            <w:pPr>
              <w:spacing w:after="0" w:line="240" w:lineRule="auto"/>
            </w:pPr>
            <w:r/>
            <w:r>
              <w:rPr>
                <w:rFonts w:ascii="Times New Roman" w:hAnsi="Times New Roman" w:eastAsia="Times New Roman"/>
                <w:b w:val="0"/>
                <w:i w:val="0"/>
                <w:sz w:val="18"/>
              </w:rPr>
              <w:t>INS-03</w:t>
            </w:r>
          </w:p>
        </w:tc>
        <w:tc>
          <w:tcPr>
            <w:tcW w:type="dxa" w:w="3305"/>
            <w:vAlign w:val="center"/>
          </w:tcPr>
          <w:p>
            <w:pPr>
              <w:spacing w:after="0" w:line="240" w:lineRule="auto"/>
            </w:pPr>
            <w:r/>
            <w:r>
              <w:rPr>
                <w:rFonts w:ascii="Times New Roman" w:hAnsi="Times New Roman" w:eastAsia="Times New Roman"/>
                <w:b w:val="0"/>
                <w:i w:val="0"/>
                <w:sz w:val="18"/>
              </w:rPr>
              <w:t>Checklist hồ sơ thai sản</w:t>
            </w:r>
          </w:p>
        </w:tc>
        <w:tc>
          <w:tcPr>
            <w:tcW w:type="dxa" w:w="3305"/>
            <w:vAlign w:val="center"/>
          </w:tcPr>
          <w:p>
            <w:pPr>
              <w:spacing w:after="0" w:line="240" w:lineRule="auto"/>
            </w:pPr>
            <w:r/>
            <w:r>
              <w:rPr>
                <w:rFonts w:ascii="Times New Roman" w:hAnsi="Times New Roman" w:eastAsia="Times New Roman"/>
                <w:b w:val="0"/>
                <w:i w:val="0"/>
                <w:sz w:val="18"/>
              </w:rPr>
              <w:t>Trước/sau khi nghỉ thai sản</w:t>
            </w:r>
          </w:p>
        </w:tc>
      </w:tr>
      <w:tr>
        <w:tc>
          <w:tcPr>
            <w:tcW w:type="dxa" w:w="3305"/>
            <w:vAlign w:val="center"/>
          </w:tcPr>
          <w:p>
            <w:pPr>
              <w:spacing w:after="0" w:line="240" w:lineRule="auto"/>
            </w:pPr>
            <w:r/>
            <w:r>
              <w:rPr>
                <w:rFonts w:ascii="Times New Roman" w:hAnsi="Times New Roman" w:eastAsia="Times New Roman"/>
                <w:b w:val="0"/>
                <w:i w:val="0"/>
                <w:sz w:val="18"/>
              </w:rPr>
              <w:t>INS-04</w:t>
            </w:r>
          </w:p>
        </w:tc>
        <w:tc>
          <w:tcPr>
            <w:tcW w:type="dxa" w:w="3305"/>
            <w:vAlign w:val="center"/>
          </w:tcPr>
          <w:p>
            <w:pPr>
              <w:spacing w:after="0" w:line="240" w:lineRule="auto"/>
            </w:pPr>
            <w:r/>
            <w:r>
              <w:rPr>
                <w:rFonts w:ascii="Times New Roman" w:hAnsi="Times New Roman" w:eastAsia="Times New Roman"/>
                <w:b w:val="0"/>
                <w:i w:val="0"/>
                <w:sz w:val="18"/>
              </w:rPr>
              <w:t>Sổ cấp phát PPE</w:t>
            </w:r>
          </w:p>
        </w:tc>
        <w:tc>
          <w:tcPr>
            <w:tcW w:type="dxa" w:w="3305"/>
            <w:vAlign w:val="center"/>
          </w:tcPr>
          <w:p>
            <w:pPr>
              <w:spacing w:after="0" w:line="240" w:lineRule="auto"/>
            </w:pPr>
            <w:r/>
            <w:r>
              <w:rPr>
                <w:rFonts w:ascii="Times New Roman" w:hAnsi="Times New Roman" w:eastAsia="Times New Roman"/>
                <w:b w:val="0"/>
                <w:i w:val="0"/>
                <w:sz w:val="18"/>
              </w:rPr>
              <w:t>Khi cấp/đổi/trả PPE</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BHXH, BHYT, BHTN, chế độ ốm đau, thai sản, tai nạn lao động và PPE. Các thời hạn dưới đây là căn cứ để người lao động, quản lý trực tiếp và Phòng Nhân sự và Phòng Tài chính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Nhân sự và Phòng Tài chính</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Nhân sự và Phòng Tài chính kiểm tra nhanh việc tuân thủ trong phạm vi BHXH, BHYT, BHTN, chế độ ốm đau, thai sản, tai nạn lao động và PPE.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INS-01</w:t>
            </w:r>
          </w:p>
        </w:tc>
        <w:tc>
          <w:tcPr>
            <w:tcW w:type="dxa" w:w="3305"/>
            <w:vAlign w:val="center"/>
          </w:tcPr>
          <w:p>
            <w:pPr>
              <w:spacing w:after="0" w:line="240" w:lineRule="auto"/>
            </w:pPr>
            <w:r/>
            <w:r>
              <w:rPr>
                <w:rFonts w:ascii="Times New Roman" w:hAnsi="Times New Roman" w:eastAsia="Times New Roman"/>
                <w:b w:val="0"/>
                <w:i w:val="0"/>
                <w:sz w:val="17"/>
              </w:rPr>
              <w:t>Phiếu khai báo thông tin bảo hiểm</w:t>
            </w:r>
          </w:p>
        </w:tc>
        <w:tc>
          <w:tcPr>
            <w:tcW w:type="dxa" w:w="3305"/>
            <w:vAlign w:val="center"/>
          </w:tcPr>
          <w:p>
            <w:pPr>
              <w:spacing w:after="0" w:line="240" w:lineRule="auto"/>
            </w:pPr>
            <w:r/>
            <w:r>
              <w:rPr>
                <w:rFonts w:ascii="Times New Roman" w:hAnsi="Times New Roman" w:eastAsia="Times New Roman"/>
                <w:b w:val="0"/>
                <w:i w:val="0"/>
                <w:sz w:val="17"/>
              </w:rPr>
              <w:t>Khi onboarding/thay đổi thông tin</w:t>
            </w:r>
          </w:p>
        </w:tc>
      </w:tr>
      <w:tr>
        <w:tc>
          <w:tcPr>
            <w:tcW w:type="dxa" w:w="3305"/>
            <w:vAlign w:val="center"/>
          </w:tcPr>
          <w:p>
            <w:pPr>
              <w:spacing w:after="0" w:line="240" w:lineRule="auto"/>
            </w:pPr>
            <w:r/>
            <w:r>
              <w:rPr>
                <w:rFonts w:ascii="Times New Roman" w:hAnsi="Times New Roman" w:eastAsia="Times New Roman"/>
                <w:b w:val="0"/>
                <w:i w:val="0"/>
                <w:sz w:val="17"/>
              </w:rPr>
              <w:t>INS-02</w:t>
            </w:r>
          </w:p>
        </w:tc>
        <w:tc>
          <w:tcPr>
            <w:tcW w:type="dxa" w:w="3305"/>
            <w:vAlign w:val="center"/>
          </w:tcPr>
          <w:p>
            <w:pPr>
              <w:spacing w:after="0" w:line="240" w:lineRule="auto"/>
            </w:pPr>
            <w:r/>
            <w:r>
              <w:rPr>
                <w:rFonts w:ascii="Times New Roman" w:hAnsi="Times New Roman" w:eastAsia="Times New Roman"/>
                <w:b w:val="0"/>
                <w:i w:val="0"/>
                <w:sz w:val="17"/>
              </w:rPr>
              <w:t>Checklist hồ sơ ốm đau</w:t>
            </w:r>
          </w:p>
        </w:tc>
        <w:tc>
          <w:tcPr>
            <w:tcW w:type="dxa" w:w="3305"/>
            <w:vAlign w:val="center"/>
          </w:tcPr>
          <w:p>
            <w:pPr>
              <w:spacing w:after="0" w:line="240" w:lineRule="auto"/>
            </w:pPr>
            <w:r/>
            <w:r>
              <w:rPr>
                <w:rFonts w:ascii="Times New Roman" w:hAnsi="Times New Roman" w:eastAsia="Times New Roman"/>
                <w:b w:val="0"/>
                <w:i w:val="0"/>
                <w:sz w:val="17"/>
              </w:rPr>
              <w:t>Khi nghỉ ốm hưởng BHXH</w:t>
            </w:r>
          </w:p>
        </w:tc>
      </w:tr>
      <w:tr>
        <w:tc>
          <w:tcPr>
            <w:tcW w:type="dxa" w:w="3305"/>
            <w:vAlign w:val="center"/>
          </w:tcPr>
          <w:p>
            <w:pPr>
              <w:spacing w:after="0" w:line="240" w:lineRule="auto"/>
            </w:pPr>
            <w:r/>
            <w:r>
              <w:rPr>
                <w:rFonts w:ascii="Times New Roman" w:hAnsi="Times New Roman" w:eastAsia="Times New Roman"/>
                <w:b w:val="0"/>
                <w:i w:val="0"/>
                <w:sz w:val="17"/>
              </w:rPr>
              <w:t>INS-03</w:t>
            </w:r>
          </w:p>
        </w:tc>
        <w:tc>
          <w:tcPr>
            <w:tcW w:type="dxa" w:w="3305"/>
            <w:vAlign w:val="center"/>
          </w:tcPr>
          <w:p>
            <w:pPr>
              <w:spacing w:after="0" w:line="240" w:lineRule="auto"/>
            </w:pPr>
            <w:r/>
            <w:r>
              <w:rPr>
                <w:rFonts w:ascii="Times New Roman" w:hAnsi="Times New Roman" w:eastAsia="Times New Roman"/>
                <w:b w:val="0"/>
                <w:i w:val="0"/>
                <w:sz w:val="17"/>
              </w:rPr>
              <w:t>Checklist hồ sơ thai sản</w:t>
            </w:r>
          </w:p>
        </w:tc>
        <w:tc>
          <w:tcPr>
            <w:tcW w:type="dxa" w:w="3305"/>
            <w:vAlign w:val="center"/>
          </w:tcPr>
          <w:p>
            <w:pPr>
              <w:spacing w:after="0" w:line="240" w:lineRule="auto"/>
            </w:pPr>
            <w:r/>
            <w:r>
              <w:rPr>
                <w:rFonts w:ascii="Times New Roman" w:hAnsi="Times New Roman" w:eastAsia="Times New Roman"/>
                <w:b w:val="0"/>
                <w:i w:val="0"/>
                <w:sz w:val="17"/>
              </w:rPr>
              <w:t>Trước/sau khi nghỉ thai sản</w:t>
            </w:r>
          </w:p>
        </w:tc>
      </w:tr>
      <w:tr>
        <w:tc>
          <w:tcPr>
            <w:tcW w:type="dxa" w:w="3305"/>
            <w:vAlign w:val="center"/>
          </w:tcPr>
          <w:p>
            <w:pPr>
              <w:spacing w:after="0" w:line="240" w:lineRule="auto"/>
            </w:pPr>
            <w:r/>
            <w:r>
              <w:rPr>
                <w:rFonts w:ascii="Times New Roman" w:hAnsi="Times New Roman" w:eastAsia="Times New Roman"/>
                <w:b w:val="0"/>
                <w:i w:val="0"/>
                <w:sz w:val="17"/>
              </w:rPr>
              <w:t>INS-04</w:t>
            </w:r>
          </w:p>
        </w:tc>
        <w:tc>
          <w:tcPr>
            <w:tcW w:type="dxa" w:w="3305"/>
            <w:vAlign w:val="center"/>
          </w:tcPr>
          <w:p>
            <w:pPr>
              <w:spacing w:after="0" w:line="240" w:lineRule="auto"/>
            </w:pPr>
            <w:r/>
            <w:r>
              <w:rPr>
                <w:rFonts w:ascii="Times New Roman" w:hAnsi="Times New Roman" w:eastAsia="Times New Roman"/>
                <w:b w:val="0"/>
                <w:i w:val="0"/>
                <w:sz w:val="17"/>
              </w:rPr>
              <w:t>Sổ cấp phát PPE</w:t>
            </w:r>
          </w:p>
        </w:tc>
        <w:tc>
          <w:tcPr>
            <w:tcW w:type="dxa" w:w="3305"/>
            <w:vAlign w:val="center"/>
          </w:tcPr>
          <w:p>
            <w:pPr>
              <w:spacing w:after="0" w:line="240" w:lineRule="auto"/>
            </w:pPr>
            <w:r/>
            <w:r>
              <w:rPr>
                <w:rFonts w:ascii="Times New Roman" w:hAnsi="Times New Roman" w:eastAsia="Times New Roman"/>
                <w:b w:val="0"/>
                <w:i w:val="0"/>
                <w:sz w:val="17"/>
              </w:rPr>
              <w:t>Khi cấp/đổi/trả PPE</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Không nộp hồ sơ ốm đau/thai sản đúng hạn do lỗi cá nhân</w:t>
            </w:r>
          </w:p>
        </w:tc>
        <w:tc>
          <w:tcPr>
            <w:tcW w:type="dxa" w:w="3305"/>
            <w:vAlign w:val="center"/>
          </w:tcPr>
          <w:p>
            <w:pPr>
              <w:spacing w:after="0" w:line="240" w:lineRule="auto"/>
            </w:pPr>
            <w:r/>
            <w:r>
              <w:rPr>
                <w:rFonts w:ascii="Times New Roman" w:hAnsi="Times New Roman" w:eastAsia="Times New Roman"/>
                <w:b w:val="0"/>
                <w:i w:val="0"/>
                <w:sz w:val="17"/>
              </w:rPr>
              <w:t>Có thể chậm nhận chế độ; HR hỗ trợ bổ sung nhưng không chịu trách nhiệm phần quá hạn do cá nhân</w:t>
            </w:r>
          </w:p>
        </w:tc>
        <w:tc>
          <w:tcPr>
            <w:tcW w:type="dxa" w:w="3305"/>
            <w:vAlign w:val="center"/>
          </w:tcPr>
          <w:p>
            <w:pPr>
              <w:spacing w:after="0" w:line="240" w:lineRule="auto"/>
            </w:pPr>
            <w:r/>
            <w:r>
              <w:rPr>
                <w:rFonts w:ascii="Times New Roman" w:hAnsi="Times New Roman" w:eastAsia="Times New Roman"/>
                <w:b w:val="0"/>
                <w:i w:val="0"/>
                <w:sz w:val="17"/>
              </w:rPr>
              <w:t>05 ngày</w:t>
            </w:r>
          </w:p>
        </w:tc>
      </w:tr>
      <w:tr>
        <w:tc>
          <w:tcPr>
            <w:tcW w:type="dxa" w:w="3305"/>
            <w:vAlign w:val="center"/>
          </w:tcPr>
          <w:p>
            <w:pPr>
              <w:spacing w:after="0" w:line="240" w:lineRule="auto"/>
            </w:pPr>
            <w:r/>
            <w:r>
              <w:rPr>
                <w:rFonts w:ascii="Times New Roman" w:hAnsi="Times New Roman" w:eastAsia="Times New Roman"/>
                <w:b w:val="0"/>
                <w:i w:val="0"/>
                <w:sz w:val="17"/>
              </w:rPr>
              <w:t>Không dùng PPE trong khu vực bắt buộc</w:t>
            </w:r>
          </w:p>
        </w:tc>
        <w:tc>
          <w:tcPr>
            <w:tcW w:type="dxa" w:w="3305"/>
            <w:vAlign w:val="center"/>
          </w:tcPr>
          <w:p>
            <w:pPr>
              <w:spacing w:after="0" w:line="240" w:lineRule="auto"/>
            </w:pPr>
            <w:r/>
            <w:r>
              <w:rPr>
                <w:rFonts w:ascii="Times New Roman" w:hAnsi="Times New Roman" w:eastAsia="Times New Roman"/>
                <w:b w:val="0"/>
                <w:i w:val="0"/>
                <w:sz w:val="17"/>
              </w:rPr>
              <w:t>Dừng công việc ngay, đào tạo lại; tái phạm xem xét kỷ luật</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Làm mất PPE trước chu kỳ do lỗi cá nhân</w:t>
            </w:r>
          </w:p>
        </w:tc>
        <w:tc>
          <w:tcPr>
            <w:tcW w:type="dxa" w:w="3305"/>
            <w:vAlign w:val="center"/>
          </w:tcPr>
          <w:p>
            <w:pPr>
              <w:spacing w:after="0" w:line="240" w:lineRule="auto"/>
            </w:pPr>
            <w:r/>
            <w:r>
              <w:rPr>
                <w:rFonts w:ascii="Times New Roman" w:hAnsi="Times New Roman" w:eastAsia="Times New Roman"/>
                <w:b w:val="0"/>
                <w:i w:val="0"/>
                <w:sz w:val="17"/>
              </w:rPr>
              <w:t>Bồi hoàn 50-100% giá trị còn lại tùy biên bản</w:t>
            </w:r>
          </w:p>
        </w:tc>
        <w:tc>
          <w:tcPr>
            <w:tcW w:type="dxa" w:w="3305"/>
            <w:vAlign w:val="center"/>
          </w:tcPr>
          <w:p>
            <w:pPr>
              <w:spacing w:after="0" w:line="240" w:lineRule="auto"/>
            </w:pPr>
            <w:r/>
            <w:r>
              <w:rPr>
                <w:rFonts w:ascii="Times New Roman" w:hAnsi="Times New Roman" w:eastAsia="Times New Roman"/>
                <w:b w:val="0"/>
                <w:i w:val="0"/>
                <w:sz w:val="17"/>
              </w:rPr>
              <w:t>03 ngày</w:t>
            </w:r>
          </w:p>
        </w:tc>
      </w:tr>
      <w:tr>
        <w:tc>
          <w:tcPr>
            <w:tcW w:type="dxa" w:w="3305"/>
            <w:vAlign w:val="center"/>
          </w:tcPr>
          <w:p>
            <w:pPr>
              <w:spacing w:after="0" w:line="240" w:lineRule="auto"/>
            </w:pPr>
            <w:r/>
            <w:r>
              <w:rPr>
                <w:rFonts w:ascii="Times New Roman" w:hAnsi="Times New Roman" w:eastAsia="Times New Roman"/>
                <w:b w:val="0"/>
                <w:i w:val="0"/>
                <w:sz w:val="17"/>
              </w:rPr>
              <w:t>Không báo tai nạn/sự cố an toàn</w:t>
            </w:r>
          </w:p>
        </w:tc>
        <w:tc>
          <w:tcPr>
            <w:tcW w:type="dxa" w:w="3305"/>
            <w:vAlign w:val="center"/>
          </w:tcPr>
          <w:p>
            <w:pPr>
              <w:spacing w:after="0" w:line="240" w:lineRule="auto"/>
            </w:pPr>
            <w:r/>
            <w:r>
              <w:rPr>
                <w:rFonts w:ascii="Times New Roman" w:hAnsi="Times New Roman" w:eastAsia="Times New Roman"/>
                <w:b w:val="0"/>
                <w:i w:val="0"/>
                <w:sz w:val="17"/>
              </w:rPr>
              <w:t>Lập biên bản vi phạm, xem xét trách nhiệm tăng nặng nếu hậu quả mở rộng</w:t>
            </w:r>
          </w:p>
        </w:tc>
        <w:tc>
          <w:tcPr>
            <w:tcW w:type="dxa" w:w="3305"/>
            <w:vAlign w:val="center"/>
          </w:tcPr>
          <w:p>
            <w:pPr>
              <w:spacing w:after="0" w:line="240" w:lineRule="auto"/>
            </w:pPr>
            <w:r/>
            <w:r>
              <w:rPr>
                <w:rFonts w:ascii="Times New Roman" w:hAnsi="Times New Roman" w:eastAsia="Times New Roman"/>
                <w:b w:val="0"/>
                <w:i w:val="0"/>
                <w:sz w:val="17"/>
              </w:rPr>
              <w:t>Ngay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Nhân sự và 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VSF-TCNS-01-V2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