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10/2026/QĐ-VSF-TCNS-02</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CHẾ</w:t>
      </w:r>
    </w:p>
    <w:p>
      <w:pPr>
        <w:spacing w:after="200" w:before="0" w:line="269" w:lineRule="auto"/>
        <w:jc w:val="center"/>
      </w:pPr>
      <w:r>
        <w:rPr>
          <w:rFonts w:ascii="Times New Roman" w:hAnsi="Times New Roman" w:eastAsia="Times New Roman"/>
          <w:b/>
          <w:i w:val="0"/>
          <w:sz w:val="36"/>
        </w:rPr>
        <w:t>QUY CHẾ CHI TRẢ LƯƠNG, BẢO MẬT BẢNG LƯƠNG, TRỢ CẤP VÀ XÉT DUYỆT TĂNG LƯƠNG</w:t>
      </w:r>
    </w:p>
    <w:p>
      <w:pPr>
        <w:spacing w:after="100" w:before="0" w:line="269" w:lineRule="auto"/>
        <w:jc w:val="center"/>
      </w:pPr>
      <w:r>
        <w:rPr>
          <w:rFonts w:ascii="Times New Roman" w:hAnsi="Times New Roman" w:eastAsia="Times New Roman"/>
          <w:b w:val="0"/>
          <w:i/>
          <w:sz w:val="24"/>
        </w:rPr>
        <w:t>(Ban hành kèm theo Quyết định số 10/2026/QĐ-VSF-TCNS-02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VSF-TCNS-02-V2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Tài chính và Phòng Nhân sự</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10/2026/QĐ-VSF-TCNS-02</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chế quy chế chi trả lương, bảo mật bảng lương, trợ cấp và xét duyệt tăng lương</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chế “Quy chế chi trả lương, bảo mật bảng lương, trợ cấp và xét duyệt tăng lương”.</w:t>
      </w:r>
    </w:p>
    <w:p>
      <w:pPr>
        <w:spacing w:after="100" w:before="0" w:line="269" w:lineRule="auto"/>
      </w:pPr>
      <w:r>
        <w:rPr>
          <w:rFonts w:ascii="Times New Roman" w:hAnsi="Times New Roman" w:eastAsia="Times New Roman"/>
          <w:b w:val="0"/>
          <w:i w:val="0"/>
          <w:sz w:val="24"/>
        </w:rPr>
        <w:t>Điều 2. Phòng Tài chính và Phòng Nhân sự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Lương, Trợ Cấp Và Tăng Lương</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lương, bảo mật bảng lương, trợ cấp và tăng lương.</w:t>
      </w:r>
    </w:p>
    <w:p>
      <w:pPr>
        <w:spacing w:after="80" w:before="0" w:line="269" w:lineRule="auto"/>
        <w:ind w:firstLine="283"/>
      </w:pPr>
      <w:r>
        <w:rPr>
          <w:rFonts w:ascii="Times New Roman" w:hAnsi="Times New Roman" w:eastAsia="Times New Roman"/>
          <w:b w:val="0"/>
          <w:i w:val="0"/>
          <w:sz w:val="24"/>
        </w:rPr>
        <w:t>2. Nội dung chỉ áp dụng trong phạm vi lương, bảo mật bảng lương, trợ cấp và tăng lương;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Tài chính và Phòng Nhân sự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LƯƠNG, TRỢ CẤP VÀ TĂNG LƯƠNG</w:t>
      </w:r>
    </w:p>
    <w:p>
      <w:pPr>
        <w:spacing w:after="100" w:before="80" w:line="269" w:lineRule="auto"/>
      </w:pPr>
      <w:r>
        <w:rPr>
          <w:rFonts w:ascii="Times New Roman" w:hAnsi="Times New Roman" w:eastAsia="Times New Roman"/>
          <w:b/>
          <w:i w:val="0"/>
          <w:sz w:val="26"/>
        </w:rPr>
        <w:t>Điều 5. Kỳ lương, dữ liệu chấm công và thời hạn chi trả</w:t>
      </w:r>
    </w:p>
    <w:p>
      <w:pPr>
        <w:spacing w:after="80" w:before="0" w:line="269" w:lineRule="auto"/>
        <w:ind w:firstLine="283"/>
      </w:pPr>
      <w:r>
        <w:rPr>
          <w:rFonts w:ascii="Times New Roman" w:hAnsi="Times New Roman" w:eastAsia="Times New Roman"/>
          <w:b w:val="0"/>
          <w:i w:val="0"/>
          <w:sz w:val="24"/>
        </w:rPr>
        <w:t>1. Kỳ lương được tính từ ngày 01 đến ngày cuối cùng của tháng. Lương được chi trả vào ngày 05 của tháng kế tiếp; nếu trùng ngày nghỉ thì trả vào ngày làm việc liền trước.</w:t>
      </w:r>
    </w:p>
    <w:p>
      <w:pPr>
        <w:spacing w:after="80" w:before="0" w:line="269" w:lineRule="auto"/>
        <w:ind w:firstLine="283"/>
      </w:pPr>
      <w:r>
        <w:rPr>
          <w:rFonts w:ascii="Times New Roman" w:hAnsi="Times New Roman" w:eastAsia="Times New Roman"/>
          <w:b w:val="0"/>
          <w:i w:val="0"/>
          <w:sz w:val="24"/>
        </w:rPr>
        <w:t>2. Dữ liệu tính lương gồm hợp đồng/quyết định lương, bảng chấm công, nghỉ phép, OT, phụ cấp, khấu trừ hợp pháp, thuế TNCN và bảo hiểm.</w:t>
      </w:r>
    </w:p>
    <w:p>
      <w:pPr>
        <w:spacing w:after="80" w:before="0" w:line="269" w:lineRule="auto"/>
        <w:ind w:firstLine="283"/>
      </w:pPr>
      <w:r>
        <w:rPr>
          <w:rFonts w:ascii="Times New Roman" w:hAnsi="Times New Roman" w:eastAsia="Times New Roman"/>
          <w:b w:val="0"/>
          <w:i w:val="0"/>
          <w:sz w:val="24"/>
        </w:rPr>
        <w:t>3. Người lao động phải kiểm tra công, phép, OT trước 17h00 ngày 02 hằng tháng. Sau thời hạn này, điều chỉnh được chuyển sang kỳ lương tiếp theo nếu không ảnh hưởng quyền lợi bắt buộc.</w:t>
      </w:r>
    </w:p>
    <w:p>
      <w:pPr>
        <w:spacing w:after="80" w:before="0" w:line="269" w:lineRule="auto"/>
        <w:ind w:firstLine="283"/>
      </w:pPr>
      <w:r>
        <w:rPr>
          <w:rFonts w:ascii="Times New Roman" w:hAnsi="Times New Roman" w:eastAsia="Times New Roman"/>
          <w:b w:val="0"/>
          <w:i w:val="0"/>
          <w:sz w:val="24"/>
        </w:rPr>
        <w:t>4. Phiếu lương cá nhân được gửi qua HRM/email bảo mật, không niêm yết công khai.</w:t>
      </w:r>
    </w:p>
    <w:p>
      <w:pPr>
        <w:spacing w:after="100" w:before="80" w:line="269" w:lineRule="auto"/>
      </w:pPr>
      <w:r>
        <w:rPr>
          <w:rFonts w:ascii="Times New Roman" w:hAnsi="Times New Roman" w:eastAsia="Times New Roman"/>
          <w:b/>
          <w:i w:val="0"/>
          <w:sz w:val="26"/>
        </w:rPr>
        <w:t>Điều 6. Bảo mật bảng lương và thông tin thu nhập</w:t>
      </w:r>
    </w:p>
    <w:p>
      <w:pPr>
        <w:spacing w:after="80" w:before="0" w:line="269" w:lineRule="auto"/>
        <w:ind w:firstLine="283"/>
      </w:pPr>
      <w:r>
        <w:rPr>
          <w:rFonts w:ascii="Times New Roman" w:hAnsi="Times New Roman" w:eastAsia="Times New Roman"/>
          <w:b w:val="0"/>
          <w:i w:val="0"/>
          <w:sz w:val="24"/>
        </w:rPr>
        <w:t>1. Thông tin lương, thưởng, phụ cấp, thuế, bảo hiểm và tài khoản ngân hàng của người lao động là thông tin mật.</w:t>
      </w:r>
    </w:p>
    <w:p>
      <w:pPr>
        <w:spacing w:after="80" w:before="0" w:line="269" w:lineRule="auto"/>
        <w:ind w:firstLine="283"/>
      </w:pPr>
      <w:r>
        <w:rPr>
          <w:rFonts w:ascii="Times New Roman" w:hAnsi="Times New Roman" w:eastAsia="Times New Roman"/>
          <w:b w:val="0"/>
          <w:i w:val="0"/>
          <w:sz w:val="24"/>
        </w:rPr>
        <w:t>2. Người lao động không được phát tán phiếu lương của mình hoặc người khác lên nhóm chung, mạng xã hội, bên thứ ba hoặc nơi không có thẩm quyền.</w:t>
      </w:r>
    </w:p>
    <w:p>
      <w:pPr>
        <w:spacing w:after="80" w:before="0" w:line="269" w:lineRule="auto"/>
        <w:ind w:firstLine="283"/>
      </w:pPr>
      <w:r>
        <w:rPr>
          <w:rFonts w:ascii="Times New Roman" w:hAnsi="Times New Roman" w:eastAsia="Times New Roman"/>
          <w:b w:val="0"/>
          <w:i w:val="0"/>
          <w:sz w:val="24"/>
        </w:rPr>
        <w:t>3. HR, Tài chính, quản lý và người phê duyệt chỉ được truy cập thông tin lương trong phạm vi cần biết để thực hiện công việc.</w:t>
      </w:r>
    </w:p>
    <w:p>
      <w:pPr>
        <w:spacing w:after="80" w:before="0" w:line="269" w:lineRule="auto"/>
        <w:ind w:firstLine="283"/>
      </w:pPr>
      <w:r>
        <w:rPr>
          <w:rFonts w:ascii="Times New Roman" w:hAnsi="Times New Roman" w:eastAsia="Times New Roman"/>
          <w:b w:val="0"/>
          <w:i w:val="0"/>
          <w:sz w:val="24"/>
        </w:rPr>
        <w:t>4. Yêu cầu xác nhận thu nhập cho ngân hàng/visa/nhà ở phải gửi HR trước tối thiểu 03 ngày làm việc.</w:t>
      </w:r>
    </w:p>
    <w:p>
      <w:pPr>
        <w:spacing w:after="100" w:before="80" w:line="269" w:lineRule="auto"/>
      </w:pPr>
      <w:r>
        <w:rPr>
          <w:rFonts w:ascii="Times New Roman" w:hAnsi="Times New Roman" w:eastAsia="Times New Roman"/>
          <w:b/>
          <w:i w:val="0"/>
          <w:sz w:val="26"/>
        </w:rPr>
        <w:t>Điều 7. Các khoản trợ cấp thường xuyên</w:t>
      </w:r>
    </w:p>
    <w:p>
      <w:pPr>
        <w:spacing w:after="80" w:before="0" w:line="269" w:lineRule="auto"/>
        <w:ind w:firstLine="283"/>
      </w:pPr>
      <w:r>
        <w:rPr>
          <w:rFonts w:ascii="Times New Roman" w:hAnsi="Times New Roman" w:eastAsia="Times New Roman"/>
          <w:b w:val="0"/>
          <w:i w:val="0"/>
          <w:sz w:val="24"/>
        </w:rPr>
        <w:t>1. Trợ cấp chỉ chi trả khi người lao động thuộc đối tượng, có ngày công/hồ sơ hợp lệ và không trùng lặp với khoản thanh toán khác.</w:t>
      </w:r>
    </w:p>
    <w:p>
      <w:pPr>
        <w:spacing w:after="80" w:before="0" w:line="269" w:lineRule="auto"/>
        <w:ind w:firstLine="283"/>
      </w:pPr>
      <w:r>
        <w:rPr>
          <w:rFonts w:ascii="Times New Roman" w:hAnsi="Times New Roman" w:eastAsia="Times New Roman"/>
          <w:b w:val="0"/>
          <w:i w:val="0"/>
          <w:sz w:val="24"/>
        </w:rPr>
        <w:t>2. Trợ cấp ăn trưa tính theo ngày làm việc thực tế hoặc ngày WFH được duyệt; không tính cho ngày nghỉ phép, nghỉ ốm hưởng BHXH, nghỉ không lương hoặc công tác đã nhận công tác phí ăn uống.</w:t>
      </w:r>
    </w:p>
    <w:p>
      <w:pPr>
        <w:spacing w:after="80" w:before="0" w:line="269" w:lineRule="auto"/>
        <w:ind w:firstLine="283"/>
      </w:pPr>
      <w:r>
        <w:rPr>
          <w:rFonts w:ascii="Times New Roman" w:hAnsi="Times New Roman" w:eastAsia="Times New Roman"/>
          <w:b w:val="0"/>
          <w:i w:val="0"/>
          <w:sz w:val="24"/>
        </w:rPr>
        <w:t>3. Trợ cấp xăng xe/điện thoại áp dụng theo vị trí, tính chất công việc và quyết định của cấp có thẩm quyền.</w:t>
      </w:r>
    </w:p>
    <w:p>
      <w:pPr>
        <w:spacing w:after="80" w:before="0" w:line="269" w:lineRule="auto"/>
        <w:ind w:firstLine="283"/>
      </w:pPr>
      <w:r>
        <w:rPr>
          <w:rFonts w:ascii="Times New Roman" w:hAnsi="Times New Roman" w:eastAsia="Times New Roman"/>
          <w:b w:val="0"/>
          <w:i w:val="0"/>
          <w:sz w:val="24"/>
        </w:rPr>
        <w:t>4. Trợ cấp trang phục được chi 01 lần/năm hoặc theo đợt do HR/Tài chính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Khoản trợ cấp</w:t>
            </w:r>
          </w:p>
        </w:tc>
        <w:tc>
          <w:tcPr>
            <w:tcW w:type="dxa" w:w="3305"/>
            <w:vAlign w:val="center"/>
          </w:tcPr>
          <w:p>
            <w:pPr>
              <w:spacing w:after="0" w:line="240" w:lineRule="auto"/>
              <w:jc w:val="center"/>
            </w:pPr>
            <w:r/>
            <w:r>
              <w:rPr>
                <w:rFonts w:ascii="Times New Roman" w:hAnsi="Times New Roman" w:eastAsia="Times New Roman"/>
                <w:b/>
                <w:i w:val="0"/>
                <w:sz w:val="18"/>
              </w:rPr>
              <w:t>Mức áp dụng</w:t>
            </w:r>
          </w:p>
        </w:tc>
        <w:tc>
          <w:tcPr>
            <w:tcW w:type="dxa" w:w="3305"/>
            <w:vAlign w:val="center"/>
          </w:tcPr>
          <w:p>
            <w:pPr>
              <w:spacing w:after="0" w:line="240" w:lineRule="auto"/>
              <w:jc w:val="center"/>
            </w:pPr>
            <w:r/>
            <w:r>
              <w:rPr>
                <w:rFonts w:ascii="Times New Roman" w:hAnsi="Times New Roman" w:eastAsia="Times New Roman"/>
                <w:b/>
                <w:i w:val="0"/>
                <w:sz w:val="18"/>
              </w:rPr>
              <w:t>Điều kiện chính</w:t>
            </w:r>
          </w:p>
        </w:tc>
      </w:tr>
      <w:tr>
        <w:tc>
          <w:tcPr>
            <w:tcW w:type="dxa" w:w="3305"/>
            <w:vAlign w:val="center"/>
          </w:tcPr>
          <w:p>
            <w:pPr>
              <w:spacing w:after="0" w:line="240" w:lineRule="auto"/>
            </w:pPr>
            <w:r/>
            <w:r>
              <w:rPr>
                <w:rFonts w:ascii="Times New Roman" w:hAnsi="Times New Roman" w:eastAsia="Times New Roman"/>
                <w:b w:val="0"/>
                <w:i w:val="0"/>
                <w:sz w:val="18"/>
              </w:rPr>
              <w:t>Ăn trưa</w:t>
            </w:r>
          </w:p>
        </w:tc>
        <w:tc>
          <w:tcPr>
            <w:tcW w:type="dxa" w:w="3305"/>
            <w:vAlign w:val="center"/>
          </w:tcPr>
          <w:p>
            <w:pPr>
              <w:spacing w:after="0" w:line="240" w:lineRule="auto"/>
            </w:pPr>
            <w:r/>
            <w:r>
              <w:rPr>
                <w:rFonts w:ascii="Times New Roman" w:hAnsi="Times New Roman" w:eastAsia="Times New Roman"/>
                <w:b w:val="0"/>
                <w:i w:val="0"/>
                <w:sz w:val="18"/>
              </w:rPr>
              <w:t>45.000 đồng/ngày công</w:t>
            </w:r>
          </w:p>
        </w:tc>
        <w:tc>
          <w:tcPr>
            <w:tcW w:type="dxa" w:w="3305"/>
            <w:vAlign w:val="center"/>
          </w:tcPr>
          <w:p>
            <w:pPr>
              <w:spacing w:after="0" w:line="240" w:lineRule="auto"/>
            </w:pPr>
            <w:r/>
            <w:r>
              <w:rPr>
                <w:rFonts w:ascii="Times New Roman" w:hAnsi="Times New Roman" w:eastAsia="Times New Roman"/>
                <w:b w:val="0"/>
                <w:i w:val="0"/>
                <w:sz w:val="18"/>
              </w:rPr>
              <w:t>Ngày làm việc thực tế/WFH được duyệt</w:t>
            </w:r>
          </w:p>
        </w:tc>
      </w:tr>
      <w:tr>
        <w:tc>
          <w:tcPr>
            <w:tcW w:type="dxa" w:w="3305"/>
            <w:vAlign w:val="center"/>
          </w:tcPr>
          <w:p>
            <w:pPr>
              <w:spacing w:after="0" w:line="240" w:lineRule="auto"/>
            </w:pPr>
            <w:r/>
            <w:r>
              <w:rPr>
                <w:rFonts w:ascii="Times New Roman" w:hAnsi="Times New Roman" w:eastAsia="Times New Roman"/>
                <w:b w:val="0"/>
                <w:i w:val="0"/>
                <w:sz w:val="18"/>
              </w:rPr>
              <w:t>Gửi xe</w:t>
            </w:r>
          </w:p>
        </w:tc>
        <w:tc>
          <w:tcPr>
            <w:tcW w:type="dxa" w:w="3305"/>
            <w:vAlign w:val="center"/>
          </w:tcPr>
          <w:p>
            <w:pPr>
              <w:spacing w:after="0" w:line="240" w:lineRule="auto"/>
            </w:pPr>
            <w:r/>
            <w:r>
              <w:rPr>
                <w:rFonts w:ascii="Times New Roman" w:hAnsi="Times New Roman" w:eastAsia="Times New Roman"/>
                <w:b w:val="0"/>
                <w:i w:val="0"/>
                <w:sz w:val="18"/>
              </w:rPr>
              <w:t>200.000 đồng/tháng</w:t>
            </w:r>
          </w:p>
        </w:tc>
        <w:tc>
          <w:tcPr>
            <w:tcW w:type="dxa" w:w="3305"/>
            <w:vAlign w:val="center"/>
          </w:tcPr>
          <w:p>
            <w:pPr>
              <w:spacing w:after="0" w:line="240" w:lineRule="auto"/>
            </w:pPr>
            <w:r/>
            <w:r>
              <w:rPr>
                <w:rFonts w:ascii="Times New Roman" w:hAnsi="Times New Roman" w:eastAsia="Times New Roman"/>
                <w:b w:val="0"/>
                <w:i w:val="0"/>
                <w:sz w:val="18"/>
              </w:rPr>
              <w:t>Nhân viên làm việc tại văn phòng không có vé xe Công ty</w:t>
            </w:r>
          </w:p>
        </w:tc>
      </w:tr>
      <w:tr>
        <w:tc>
          <w:tcPr>
            <w:tcW w:type="dxa" w:w="3305"/>
            <w:vAlign w:val="center"/>
          </w:tcPr>
          <w:p>
            <w:pPr>
              <w:spacing w:after="0" w:line="240" w:lineRule="auto"/>
            </w:pPr>
            <w:r/>
            <w:r>
              <w:rPr>
                <w:rFonts w:ascii="Times New Roman" w:hAnsi="Times New Roman" w:eastAsia="Times New Roman"/>
                <w:b w:val="0"/>
                <w:i w:val="0"/>
                <w:sz w:val="18"/>
              </w:rPr>
              <w:t>Xăng xe</w:t>
            </w:r>
          </w:p>
        </w:tc>
        <w:tc>
          <w:tcPr>
            <w:tcW w:type="dxa" w:w="3305"/>
            <w:vAlign w:val="center"/>
          </w:tcPr>
          <w:p>
            <w:pPr>
              <w:spacing w:after="0" w:line="240" w:lineRule="auto"/>
            </w:pPr>
            <w:r/>
            <w:r>
              <w:rPr>
                <w:rFonts w:ascii="Times New Roman" w:hAnsi="Times New Roman" w:eastAsia="Times New Roman"/>
                <w:b w:val="0"/>
                <w:i w:val="0"/>
                <w:sz w:val="18"/>
              </w:rPr>
              <w:t>500.000-1.500.000 đồng/tháng</w:t>
            </w:r>
          </w:p>
        </w:tc>
        <w:tc>
          <w:tcPr>
            <w:tcW w:type="dxa" w:w="3305"/>
            <w:vAlign w:val="center"/>
          </w:tcPr>
          <w:p>
            <w:pPr>
              <w:spacing w:after="0" w:line="240" w:lineRule="auto"/>
            </w:pPr>
            <w:r/>
            <w:r>
              <w:rPr>
                <w:rFonts w:ascii="Times New Roman" w:hAnsi="Times New Roman" w:eastAsia="Times New Roman"/>
                <w:b w:val="0"/>
                <w:i w:val="0"/>
                <w:sz w:val="18"/>
              </w:rPr>
              <w:t>Vị trí thường xuyên di chuyển</w:t>
            </w:r>
          </w:p>
        </w:tc>
      </w:tr>
      <w:tr>
        <w:tc>
          <w:tcPr>
            <w:tcW w:type="dxa" w:w="3305"/>
            <w:vAlign w:val="center"/>
          </w:tcPr>
          <w:p>
            <w:pPr>
              <w:spacing w:after="0" w:line="240" w:lineRule="auto"/>
            </w:pPr>
            <w:r/>
            <w:r>
              <w:rPr>
                <w:rFonts w:ascii="Times New Roman" w:hAnsi="Times New Roman" w:eastAsia="Times New Roman"/>
                <w:b w:val="0"/>
                <w:i w:val="0"/>
                <w:sz w:val="18"/>
              </w:rPr>
              <w:t>Điện thoại</w:t>
            </w:r>
          </w:p>
        </w:tc>
        <w:tc>
          <w:tcPr>
            <w:tcW w:type="dxa" w:w="3305"/>
            <w:vAlign w:val="center"/>
          </w:tcPr>
          <w:p>
            <w:pPr>
              <w:spacing w:after="0" w:line="240" w:lineRule="auto"/>
            </w:pPr>
            <w:r/>
            <w:r>
              <w:rPr>
                <w:rFonts w:ascii="Times New Roman" w:hAnsi="Times New Roman" w:eastAsia="Times New Roman"/>
                <w:b w:val="0"/>
                <w:i w:val="0"/>
                <w:sz w:val="18"/>
              </w:rPr>
              <w:t>200.000-1.500.000 đồng/tháng</w:t>
            </w:r>
          </w:p>
        </w:tc>
        <w:tc>
          <w:tcPr>
            <w:tcW w:type="dxa" w:w="3305"/>
            <w:vAlign w:val="center"/>
          </w:tcPr>
          <w:p>
            <w:pPr>
              <w:spacing w:after="0" w:line="240" w:lineRule="auto"/>
            </w:pPr>
            <w:r/>
            <w:r>
              <w:rPr>
                <w:rFonts w:ascii="Times New Roman" w:hAnsi="Times New Roman" w:eastAsia="Times New Roman"/>
                <w:b w:val="0"/>
                <w:i w:val="0"/>
                <w:sz w:val="18"/>
              </w:rPr>
              <w:t>Vị trí cần liên hệ khách hàng/đối tác</w:t>
            </w:r>
          </w:p>
        </w:tc>
      </w:tr>
      <w:tr>
        <w:tc>
          <w:tcPr>
            <w:tcW w:type="dxa" w:w="3305"/>
            <w:vAlign w:val="center"/>
          </w:tcPr>
          <w:p>
            <w:pPr>
              <w:spacing w:after="0" w:line="240" w:lineRule="auto"/>
            </w:pPr>
            <w:r/>
            <w:r>
              <w:rPr>
                <w:rFonts w:ascii="Times New Roman" w:hAnsi="Times New Roman" w:eastAsia="Times New Roman"/>
                <w:b w:val="0"/>
                <w:i w:val="0"/>
                <w:sz w:val="18"/>
              </w:rPr>
              <w:t>Trang phục</w:t>
            </w:r>
          </w:p>
        </w:tc>
        <w:tc>
          <w:tcPr>
            <w:tcW w:type="dxa" w:w="3305"/>
            <w:vAlign w:val="center"/>
          </w:tcPr>
          <w:p>
            <w:pPr>
              <w:spacing w:after="0" w:line="240" w:lineRule="auto"/>
            </w:pPr>
            <w:r/>
            <w:r>
              <w:rPr>
                <w:rFonts w:ascii="Times New Roman" w:hAnsi="Times New Roman" w:eastAsia="Times New Roman"/>
                <w:b w:val="0"/>
                <w:i w:val="0"/>
                <w:sz w:val="18"/>
              </w:rPr>
              <w:t>2.000.000 đồng/năm</w:t>
            </w:r>
          </w:p>
        </w:tc>
        <w:tc>
          <w:tcPr>
            <w:tcW w:type="dxa" w:w="3305"/>
            <w:vAlign w:val="center"/>
          </w:tcPr>
          <w:p>
            <w:pPr>
              <w:spacing w:after="0" w:line="240" w:lineRule="auto"/>
            </w:pPr>
            <w:r/>
            <w:r>
              <w:rPr>
                <w:rFonts w:ascii="Times New Roman" w:hAnsi="Times New Roman" w:eastAsia="Times New Roman"/>
                <w:b w:val="0"/>
                <w:i w:val="0"/>
                <w:sz w:val="18"/>
              </w:rPr>
              <w:t>Nhân viên chính thức đủ điều kiện</w:t>
            </w:r>
          </w:p>
        </w:tc>
      </w:tr>
    </w:tbl>
    <w:p>
      <w:pPr>
        <w:spacing w:after="40" w:before="0" w:line="269" w:lineRule="auto"/>
      </w:pPr>
    </w:p>
    <w:p>
      <w:pPr>
        <w:spacing w:after="100" w:before="80" w:line="269" w:lineRule="auto"/>
      </w:pPr>
      <w:r>
        <w:rPr>
          <w:rFonts w:ascii="Times New Roman" w:hAnsi="Times New Roman" w:eastAsia="Times New Roman"/>
          <w:b/>
          <w:i w:val="0"/>
          <w:sz w:val="26"/>
        </w:rPr>
        <w:t>Điều 8. OT, ngày thứ Bảy và các khoản điều chỉnh</w:t>
      </w:r>
    </w:p>
    <w:p>
      <w:pPr>
        <w:spacing w:after="80" w:before="0" w:line="269" w:lineRule="auto"/>
        <w:ind w:firstLine="283"/>
      </w:pPr>
      <w:r>
        <w:rPr>
          <w:rFonts w:ascii="Times New Roman" w:hAnsi="Times New Roman" w:eastAsia="Times New Roman"/>
          <w:b w:val="0"/>
          <w:i w:val="0"/>
          <w:sz w:val="24"/>
        </w:rPr>
        <w:t>1. Ngày thứ Bảy làm việc cách tuần là ngày làm việc bình thường theo lịch đã công bố nếu thuộc lịch tháng; không tự động tính OT.</w:t>
      </w:r>
    </w:p>
    <w:p>
      <w:pPr>
        <w:spacing w:after="80" w:before="0" w:line="269" w:lineRule="auto"/>
        <w:ind w:firstLine="283"/>
      </w:pPr>
      <w:r>
        <w:rPr>
          <w:rFonts w:ascii="Times New Roman" w:hAnsi="Times New Roman" w:eastAsia="Times New Roman"/>
          <w:b w:val="0"/>
          <w:i w:val="0"/>
          <w:sz w:val="24"/>
        </w:rPr>
        <w:t>2. OT chỉ phát sinh khi làm ngoài khung giờ/lịch chuẩn và có đăng ký OT được phê duyệt.</w:t>
      </w:r>
    </w:p>
    <w:p>
      <w:pPr>
        <w:spacing w:after="80" w:before="0" w:line="269" w:lineRule="auto"/>
        <w:ind w:firstLine="283"/>
      </w:pPr>
      <w:r>
        <w:rPr>
          <w:rFonts w:ascii="Times New Roman" w:hAnsi="Times New Roman" w:eastAsia="Times New Roman"/>
          <w:b w:val="0"/>
          <w:i w:val="0"/>
          <w:sz w:val="24"/>
        </w:rPr>
        <w:t>3. OT ngày thường, ngày nghỉ hằng tuần, ngày lễ Tết được tính theo tỷ lệ tại Quy định thời gian làm việc và pháp luật hiện hành.</w:t>
      </w:r>
    </w:p>
    <w:p>
      <w:pPr>
        <w:spacing w:after="80" w:before="0" w:line="269" w:lineRule="auto"/>
        <w:ind w:firstLine="283"/>
      </w:pPr>
      <w:r>
        <w:rPr>
          <w:rFonts w:ascii="Times New Roman" w:hAnsi="Times New Roman" w:eastAsia="Times New Roman"/>
          <w:b w:val="0"/>
          <w:i w:val="0"/>
          <w:sz w:val="24"/>
        </w:rPr>
        <w:t>4. Điều chỉnh lương do sai công, thiếu phép, thiếu OT phải có phiếu đối soát và phê duyệt của quản lý/HR.</w:t>
      </w:r>
    </w:p>
    <w:p>
      <w:pPr>
        <w:spacing w:after="100" w:before="80" w:line="269" w:lineRule="auto"/>
      </w:pPr>
      <w:r>
        <w:rPr>
          <w:rFonts w:ascii="Times New Roman" w:hAnsi="Times New Roman" w:eastAsia="Times New Roman"/>
          <w:b/>
          <w:i w:val="0"/>
          <w:sz w:val="26"/>
        </w:rPr>
        <w:t>Điều 9. Xét duyệt tăng lương định kỳ</w:t>
      </w:r>
    </w:p>
    <w:p>
      <w:pPr>
        <w:spacing w:after="80" w:before="0" w:line="269" w:lineRule="auto"/>
        <w:ind w:firstLine="283"/>
      </w:pPr>
      <w:r>
        <w:rPr>
          <w:rFonts w:ascii="Times New Roman" w:hAnsi="Times New Roman" w:eastAsia="Times New Roman"/>
          <w:b w:val="0"/>
          <w:i w:val="0"/>
          <w:sz w:val="24"/>
        </w:rPr>
        <w:t>1. Công ty xét tăng lương định kỳ 02 lần/năm vào tháng 04 và tháng 10 tùy ngân sách, kết quả kinh doanh và hiệu suất cá nhân.</w:t>
      </w:r>
    </w:p>
    <w:p>
      <w:pPr>
        <w:spacing w:after="80" w:before="0" w:line="269" w:lineRule="auto"/>
        <w:ind w:firstLine="283"/>
      </w:pPr>
      <w:r>
        <w:rPr>
          <w:rFonts w:ascii="Times New Roman" w:hAnsi="Times New Roman" w:eastAsia="Times New Roman"/>
          <w:b w:val="0"/>
          <w:i w:val="0"/>
          <w:sz w:val="24"/>
        </w:rPr>
        <w:t>2. Điều kiện xét gồm thời gian làm việc tối thiểu 06 tháng, hoàn thành KPI từ mức Đạt trở lên, không vi phạm kỷ luật trong 06 tháng gần nhất và có đề xuất của quản lý.</w:t>
      </w:r>
    </w:p>
    <w:p>
      <w:pPr>
        <w:spacing w:after="80" w:before="0" w:line="269" w:lineRule="auto"/>
        <w:ind w:firstLine="283"/>
      </w:pPr>
      <w:r>
        <w:rPr>
          <w:rFonts w:ascii="Times New Roman" w:hAnsi="Times New Roman" w:eastAsia="Times New Roman"/>
          <w:b w:val="0"/>
          <w:i w:val="0"/>
          <w:sz w:val="24"/>
        </w:rPr>
        <w:t>3. Mức tăng tham chiếu: 6-8% cho mức Đạt, 9-12% cho mức Tốt, 13-15% cho mức Xuất sắc hoặc vị trí thị trường khan hiếm; trường hợp đặc biệt phải trình Tổng Giám đốc.</w:t>
      </w:r>
    </w:p>
    <w:p>
      <w:pPr>
        <w:spacing w:after="80" w:before="0" w:line="269" w:lineRule="auto"/>
        <w:ind w:firstLine="283"/>
      </w:pPr>
      <w:r>
        <w:rPr>
          <w:rFonts w:ascii="Times New Roman" w:hAnsi="Times New Roman" w:eastAsia="Times New Roman"/>
          <w:b w:val="0"/>
          <w:i w:val="0"/>
          <w:sz w:val="24"/>
        </w:rPr>
        <w:t>4. Tăng lương ngoài kỳ chỉ áp dụng khi thay đổi chức danh, mở rộng trách nhiệm, giữ chân nhân sự trọng yếu hoặc điều chỉnh theo thị trường có phê duyệt riêng.</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Tài chính và Phòng Nhân sự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Nộp đối soát công/lương sau hạn do lỗi cá nhân</w:t>
            </w:r>
          </w:p>
        </w:tc>
        <w:tc>
          <w:tcPr>
            <w:tcW w:type="dxa" w:w="3305"/>
            <w:vAlign w:val="center"/>
          </w:tcPr>
          <w:p>
            <w:pPr>
              <w:spacing w:after="0" w:line="240" w:lineRule="auto"/>
            </w:pPr>
            <w:r/>
            <w:r>
              <w:rPr>
                <w:rFonts w:ascii="Times New Roman" w:hAnsi="Times New Roman" w:eastAsia="Times New Roman"/>
                <w:b w:val="0"/>
                <w:i w:val="0"/>
                <w:sz w:val="18"/>
              </w:rPr>
              <w:t>Chuyển điều chỉnh sang kỳ sau nếu không ảnh hưởng nghĩa vụ bắt buộc</w:t>
            </w:r>
          </w:p>
        </w:tc>
        <w:tc>
          <w:tcPr>
            <w:tcW w:type="dxa" w:w="3305"/>
            <w:vAlign w:val="center"/>
          </w:tcPr>
          <w:p>
            <w:pPr>
              <w:spacing w:after="0" w:line="240" w:lineRule="auto"/>
            </w:pPr>
            <w:r/>
            <w:r>
              <w:rPr>
                <w:rFonts w:ascii="Times New Roman" w:hAnsi="Times New Roman" w:eastAsia="Times New Roman"/>
                <w:b w:val="0"/>
                <w:i w:val="0"/>
                <w:sz w:val="18"/>
              </w:rPr>
              <w:t>Kỳ lương sau</w:t>
            </w:r>
          </w:p>
        </w:tc>
      </w:tr>
      <w:tr>
        <w:tc>
          <w:tcPr>
            <w:tcW w:type="dxa" w:w="3305"/>
            <w:vAlign w:val="center"/>
          </w:tcPr>
          <w:p>
            <w:pPr>
              <w:spacing w:after="0" w:line="240" w:lineRule="auto"/>
            </w:pPr>
            <w:r/>
            <w:r>
              <w:rPr>
                <w:rFonts w:ascii="Times New Roman" w:hAnsi="Times New Roman" w:eastAsia="Times New Roman"/>
                <w:b w:val="0"/>
                <w:i w:val="0"/>
                <w:sz w:val="18"/>
              </w:rPr>
              <w:t>Tiết lộ bảng lương người khác</w:t>
            </w:r>
          </w:p>
        </w:tc>
        <w:tc>
          <w:tcPr>
            <w:tcW w:type="dxa" w:w="3305"/>
            <w:vAlign w:val="center"/>
          </w:tcPr>
          <w:p>
            <w:pPr>
              <w:spacing w:after="0" w:line="240" w:lineRule="auto"/>
            </w:pPr>
            <w:r/>
            <w:r>
              <w:rPr>
                <w:rFonts w:ascii="Times New Roman" w:hAnsi="Times New Roman" w:eastAsia="Times New Roman"/>
                <w:b w:val="0"/>
                <w:i w:val="0"/>
                <w:sz w:val="18"/>
              </w:rPr>
              <w:t>Xử lý theo quy chế bảo mật và kỷ luật</w:t>
            </w:r>
          </w:p>
        </w:tc>
        <w:tc>
          <w:tcPr>
            <w:tcW w:type="dxa" w:w="3305"/>
            <w:vAlign w:val="center"/>
          </w:tcPr>
          <w:p>
            <w:pPr>
              <w:spacing w:after="0" w:line="240" w:lineRule="auto"/>
            </w:pPr>
            <w:r/>
            <w:r>
              <w:rPr>
                <w:rFonts w:ascii="Times New Roman" w:hAnsi="Times New Roman" w:eastAsia="Times New Roman"/>
                <w:b w:val="0"/>
                <w:i w:val="0"/>
                <w:sz w:val="18"/>
              </w:rPr>
              <w:t>Theo vụ việc</w:t>
            </w:r>
          </w:p>
        </w:tc>
      </w:tr>
      <w:tr>
        <w:tc>
          <w:tcPr>
            <w:tcW w:type="dxa" w:w="3305"/>
            <w:vAlign w:val="center"/>
          </w:tcPr>
          <w:p>
            <w:pPr>
              <w:spacing w:after="0" w:line="240" w:lineRule="auto"/>
            </w:pPr>
            <w:r/>
            <w:r>
              <w:rPr>
                <w:rFonts w:ascii="Times New Roman" w:hAnsi="Times New Roman" w:eastAsia="Times New Roman"/>
                <w:b w:val="0"/>
                <w:i w:val="0"/>
                <w:sz w:val="18"/>
              </w:rPr>
              <w:t>Khai sai ngày công/phụ cấp</w:t>
            </w:r>
          </w:p>
        </w:tc>
        <w:tc>
          <w:tcPr>
            <w:tcW w:type="dxa" w:w="3305"/>
            <w:vAlign w:val="center"/>
          </w:tcPr>
          <w:p>
            <w:pPr>
              <w:spacing w:after="0" w:line="240" w:lineRule="auto"/>
            </w:pPr>
            <w:r/>
            <w:r>
              <w:rPr>
                <w:rFonts w:ascii="Times New Roman" w:hAnsi="Times New Roman" w:eastAsia="Times New Roman"/>
                <w:b w:val="0"/>
                <w:i w:val="0"/>
                <w:sz w:val="18"/>
              </w:rPr>
              <w:t>Thu hồi khoản chi sai và xem xét trách nhiệm</w:t>
            </w:r>
          </w:p>
        </w:tc>
        <w:tc>
          <w:tcPr>
            <w:tcW w:type="dxa" w:w="3305"/>
            <w:vAlign w:val="center"/>
          </w:tcPr>
          <w:p>
            <w:pPr>
              <w:spacing w:after="0" w:line="240" w:lineRule="auto"/>
            </w:pPr>
            <w:r/>
            <w:r>
              <w:rPr>
                <w:rFonts w:ascii="Times New Roman" w:hAnsi="Times New Roman" w:eastAsia="Times New Roman"/>
                <w:b w:val="0"/>
                <w:i w:val="0"/>
                <w:sz w:val="18"/>
              </w:rPr>
              <w:t>05 ngày</w:t>
            </w:r>
          </w:p>
        </w:tc>
      </w:tr>
      <w:tr>
        <w:tc>
          <w:tcPr>
            <w:tcW w:type="dxa" w:w="3305"/>
            <w:vAlign w:val="center"/>
          </w:tcPr>
          <w:p>
            <w:pPr>
              <w:spacing w:after="0" w:line="240" w:lineRule="auto"/>
            </w:pPr>
            <w:r/>
            <w:r>
              <w:rPr>
                <w:rFonts w:ascii="Times New Roman" w:hAnsi="Times New Roman" w:eastAsia="Times New Roman"/>
                <w:b w:val="0"/>
                <w:i w:val="0"/>
                <w:sz w:val="18"/>
              </w:rPr>
              <w:t>Không hoàn ứng/công nợ quá hạn</w:t>
            </w:r>
          </w:p>
        </w:tc>
        <w:tc>
          <w:tcPr>
            <w:tcW w:type="dxa" w:w="3305"/>
            <w:vAlign w:val="center"/>
          </w:tcPr>
          <w:p>
            <w:pPr>
              <w:spacing w:after="0" w:line="240" w:lineRule="auto"/>
            </w:pPr>
            <w:r/>
            <w:r>
              <w:rPr>
                <w:rFonts w:ascii="Times New Roman" w:hAnsi="Times New Roman" w:eastAsia="Times New Roman"/>
                <w:b w:val="0"/>
                <w:i w:val="0"/>
                <w:sz w:val="18"/>
              </w:rPr>
              <w:t>Đối soát công nợ theo hồ sơ hợp lệ trước khi chi khoản không bắt buộc</w:t>
            </w:r>
          </w:p>
        </w:tc>
        <w:tc>
          <w:tcPr>
            <w:tcW w:type="dxa" w:w="3305"/>
            <w:vAlign w:val="center"/>
          </w:tcPr>
          <w:p>
            <w:pPr>
              <w:spacing w:after="0" w:line="240" w:lineRule="auto"/>
            </w:pPr>
            <w:r/>
            <w:r>
              <w:rPr>
                <w:rFonts w:ascii="Times New Roman" w:hAnsi="Times New Roman" w:eastAsia="Times New Roman"/>
                <w:b w:val="0"/>
                <w:i w:val="0"/>
                <w:sz w:val="18"/>
              </w:rPr>
              <w:t>05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PAY-01</w:t>
            </w:r>
          </w:p>
        </w:tc>
        <w:tc>
          <w:tcPr>
            <w:tcW w:type="dxa" w:w="3305"/>
            <w:vAlign w:val="center"/>
          </w:tcPr>
          <w:p>
            <w:pPr>
              <w:spacing w:after="0" w:line="240" w:lineRule="auto"/>
            </w:pPr>
            <w:r/>
            <w:r>
              <w:rPr>
                <w:rFonts w:ascii="Times New Roman" w:hAnsi="Times New Roman" w:eastAsia="Times New Roman"/>
                <w:b w:val="0"/>
                <w:i w:val="0"/>
                <w:sz w:val="18"/>
              </w:rPr>
              <w:t>Bảng đối soát công, phép, OT</w:t>
            </w:r>
          </w:p>
        </w:tc>
        <w:tc>
          <w:tcPr>
            <w:tcW w:type="dxa" w:w="3305"/>
            <w:vAlign w:val="center"/>
          </w:tcPr>
          <w:p>
            <w:pPr>
              <w:spacing w:after="0" w:line="240" w:lineRule="auto"/>
            </w:pPr>
            <w:r/>
            <w:r>
              <w:rPr>
                <w:rFonts w:ascii="Times New Roman" w:hAnsi="Times New Roman" w:eastAsia="Times New Roman"/>
                <w:b w:val="0"/>
                <w:i w:val="0"/>
                <w:sz w:val="18"/>
              </w:rPr>
              <w:t>Trước ngày 02 hằng tháng</w:t>
            </w:r>
          </w:p>
        </w:tc>
      </w:tr>
      <w:tr>
        <w:tc>
          <w:tcPr>
            <w:tcW w:type="dxa" w:w="3305"/>
            <w:vAlign w:val="center"/>
          </w:tcPr>
          <w:p>
            <w:pPr>
              <w:spacing w:after="0" w:line="240" w:lineRule="auto"/>
            </w:pPr>
            <w:r/>
            <w:r>
              <w:rPr>
                <w:rFonts w:ascii="Times New Roman" w:hAnsi="Times New Roman" w:eastAsia="Times New Roman"/>
                <w:b w:val="0"/>
                <w:i w:val="0"/>
                <w:sz w:val="18"/>
              </w:rPr>
              <w:t>PAY-02</w:t>
            </w:r>
          </w:p>
        </w:tc>
        <w:tc>
          <w:tcPr>
            <w:tcW w:type="dxa" w:w="3305"/>
            <w:vAlign w:val="center"/>
          </w:tcPr>
          <w:p>
            <w:pPr>
              <w:spacing w:after="0" w:line="240" w:lineRule="auto"/>
            </w:pPr>
            <w:r/>
            <w:r>
              <w:rPr>
                <w:rFonts w:ascii="Times New Roman" w:hAnsi="Times New Roman" w:eastAsia="Times New Roman"/>
                <w:b w:val="0"/>
                <w:i w:val="0"/>
                <w:sz w:val="18"/>
              </w:rPr>
              <w:t>Phiếu lương cá nhân</w:t>
            </w:r>
          </w:p>
        </w:tc>
        <w:tc>
          <w:tcPr>
            <w:tcW w:type="dxa" w:w="3305"/>
            <w:vAlign w:val="center"/>
          </w:tcPr>
          <w:p>
            <w:pPr>
              <w:spacing w:after="0" w:line="240" w:lineRule="auto"/>
            </w:pPr>
            <w:r/>
            <w:r>
              <w:rPr>
                <w:rFonts w:ascii="Times New Roman" w:hAnsi="Times New Roman" w:eastAsia="Times New Roman"/>
                <w:b w:val="0"/>
                <w:i w:val="0"/>
                <w:sz w:val="18"/>
              </w:rPr>
              <w:t>Ngày chi trả lương</w:t>
            </w:r>
          </w:p>
        </w:tc>
      </w:tr>
      <w:tr>
        <w:tc>
          <w:tcPr>
            <w:tcW w:type="dxa" w:w="3305"/>
            <w:vAlign w:val="center"/>
          </w:tcPr>
          <w:p>
            <w:pPr>
              <w:spacing w:after="0" w:line="240" w:lineRule="auto"/>
            </w:pPr>
            <w:r/>
            <w:r>
              <w:rPr>
                <w:rFonts w:ascii="Times New Roman" w:hAnsi="Times New Roman" w:eastAsia="Times New Roman"/>
                <w:b w:val="0"/>
                <w:i w:val="0"/>
                <w:sz w:val="18"/>
              </w:rPr>
              <w:t>PAY-03</w:t>
            </w:r>
          </w:p>
        </w:tc>
        <w:tc>
          <w:tcPr>
            <w:tcW w:type="dxa" w:w="3305"/>
            <w:vAlign w:val="center"/>
          </w:tcPr>
          <w:p>
            <w:pPr>
              <w:spacing w:after="0" w:line="240" w:lineRule="auto"/>
            </w:pPr>
            <w:r/>
            <w:r>
              <w:rPr>
                <w:rFonts w:ascii="Times New Roman" w:hAnsi="Times New Roman" w:eastAsia="Times New Roman"/>
                <w:b w:val="0"/>
                <w:i w:val="0"/>
                <w:sz w:val="18"/>
              </w:rPr>
              <w:t>Đề nghị trợ cấp điện thoại/xăng xe</w:t>
            </w:r>
          </w:p>
        </w:tc>
        <w:tc>
          <w:tcPr>
            <w:tcW w:type="dxa" w:w="3305"/>
            <w:vAlign w:val="center"/>
          </w:tcPr>
          <w:p>
            <w:pPr>
              <w:spacing w:after="0" w:line="240" w:lineRule="auto"/>
            </w:pPr>
            <w:r/>
            <w:r>
              <w:rPr>
                <w:rFonts w:ascii="Times New Roman" w:hAnsi="Times New Roman" w:eastAsia="Times New Roman"/>
                <w:b w:val="0"/>
                <w:i w:val="0"/>
                <w:sz w:val="18"/>
              </w:rPr>
              <w:t>Khi phát sinh hoặc thay đổi vị trí</w:t>
            </w:r>
          </w:p>
        </w:tc>
      </w:tr>
      <w:tr>
        <w:tc>
          <w:tcPr>
            <w:tcW w:type="dxa" w:w="3305"/>
            <w:vAlign w:val="center"/>
          </w:tcPr>
          <w:p>
            <w:pPr>
              <w:spacing w:after="0" w:line="240" w:lineRule="auto"/>
            </w:pPr>
            <w:r/>
            <w:r>
              <w:rPr>
                <w:rFonts w:ascii="Times New Roman" w:hAnsi="Times New Roman" w:eastAsia="Times New Roman"/>
                <w:b w:val="0"/>
                <w:i w:val="0"/>
                <w:sz w:val="18"/>
              </w:rPr>
              <w:t>PAY-04</w:t>
            </w:r>
          </w:p>
        </w:tc>
        <w:tc>
          <w:tcPr>
            <w:tcW w:type="dxa" w:w="3305"/>
            <w:vAlign w:val="center"/>
          </w:tcPr>
          <w:p>
            <w:pPr>
              <w:spacing w:after="0" w:line="240" w:lineRule="auto"/>
            </w:pPr>
            <w:r/>
            <w:r>
              <w:rPr>
                <w:rFonts w:ascii="Times New Roman" w:hAnsi="Times New Roman" w:eastAsia="Times New Roman"/>
                <w:b w:val="0"/>
                <w:i w:val="0"/>
                <w:sz w:val="18"/>
              </w:rPr>
              <w:t>Phiếu đề xuất tăng lương</w:t>
            </w:r>
          </w:p>
        </w:tc>
        <w:tc>
          <w:tcPr>
            <w:tcW w:type="dxa" w:w="3305"/>
            <w:vAlign w:val="center"/>
          </w:tcPr>
          <w:p>
            <w:pPr>
              <w:spacing w:after="0" w:line="240" w:lineRule="auto"/>
            </w:pPr>
            <w:r/>
            <w:r>
              <w:rPr>
                <w:rFonts w:ascii="Times New Roman" w:hAnsi="Times New Roman" w:eastAsia="Times New Roman"/>
                <w:b w:val="0"/>
                <w:i w:val="0"/>
                <w:sz w:val="18"/>
              </w:rPr>
              <w:t>Tháng 04 và tháng 10</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lương, bảo mật bảng lương, trợ cấp và tăng lương. Các thời hạn dưới đây là căn cứ để người lao động, quản lý trực tiếp và Phòng Tài chính và Phòng Nhân sự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Tài chính và Phòng Nhân sự</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Tài chính và Phòng Nhân sự kiểm tra nhanh việc tuân thủ trong phạm vi lương, bảo mật bảng lương, trợ cấp và tăng lương.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PAY-01</w:t>
            </w:r>
          </w:p>
        </w:tc>
        <w:tc>
          <w:tcPr>
            <w:tcW w:type="dxa" w:w="3305"/>
            <w:vAlign w:val="center"/>
          </w:tcPr>
          <w:p>
            <w:pPr>
              <w:spacing w:after="0" w:line="240" w:lineRule="auto"/>
            </w:pPr>
            <w:r/>
            <w:r>
              <w:rPr>
                <w:rFonts w:ascii="Times New Roman" w:hAnsi="Times New Roman" w:eastAsia="Times New Roman"/>
                <w:b w:val="0"/>
                <w:i w:val="0"/>
                <w:sz w:val="17"/>
              </w:rPr>
              <w:t>Bảng đối soát công, phép, OT</w:t>
            </w:r>
          </w:p>
        </w:tc>
        <w:tc>
          <w:tcPr>
            <w:tcW w:type="dxa" w:w="3305"/>
            <w:vAlign w:val="center"/>
          </w:tcPr>
          <w:p>
            <w:pPr>
              <w:spacing w:after="0" w:line="240" w:lineRule="auto"/>
            </w:pPr>
            <w:r/>
            <w:r>
              <w:rPr>
                <w:rFonts w:ascii="Times New Roman" w:hAnsi="Times New Roman" w:eastAsia="Times New Roman"/>
                <w:b w:val="0"/>
                <w:i w:val="0"/>
                <w:sz w:val="17"/>
              </w:rPr>
              <w:t>Trước ngày 02 hằng tháng</w:t>
            </w:r>
          </w:p>
        </w:tc>
      </w:tr>
      <w:tr>
        <w:tc>
          <w:tcPr>
            <w:tcW w:type="dxa" w:w="3305"/>
            <w:vAlign w:val="center"/>
          </w:tcPr>
          <w:p>
            <w:pPr>
              <w:spacing w:after="0" w:line="240" w:lineRule="auto"/>
            </w:pPr>
            <w:r/>
            <w:r>
              <w:rPr>
                <w:rFonts w:ascii="Times New Roman" w:hAnsi="Times New Roman" w:eastAsia="Times New Roman"/>
                <w:b w:val="0"/>
                <w:i w:val="0"/>
                <w:sz w:val="17"/>
              </w:rPr>
              <w:t>PAY-02</w:t>
            </w:r>
          </w:p>
        </w:tc>
        <w:tc>
          <w:tcPr>
            <w:tcW w:type="dxa" w:w="3305"/>
            <w:vAlign w:val="center"/>
          </w:tcPr>
          <w:p>
            <w:pPr>
              <w:spacing w:after="0" w:line="240" w:lineRule="auto"/>
            </w:pPr>
            <w:r/>
            <w:r>
              <w:rPr>
                <w:rFonts w:ascii="Times New Roman" w:hAnsi="Times New Roman" w:eastAsia="Times New Roman"/>
                <w:b w:val="0"/>
                <w:i w:val="0"/>
                <w:sz w:val="17"/>
              </w:rPr>
              <w:t>Phiếu lương cá nhân</w:t>
            </w:r>
          </w:p>
        </w:tc>
        <w:tc>
          <w:tcPr>
            <w:tcW w:type="dxa" w:w="3305"/>
            <w:vAlign w:val="center"/>
          </w:tcPr>
          <w:p>
            <w:pPr>
              <w:spacing w:after="0" w:line="240" w:lineRule="auto"/>
            </w:pPr>
            <w:r/>
            <w:r>
              <w:rPr>
                <w:rFonts w:ascii="Times New Roman" w:hAnsi="Times New Roman" w:eastAsia="Times New Roman"/>
                <w:b w:val="0"/>
                <w:i w:val="0"/>
                <w:sz w:val="17"/>
              </w:rPr>
              <w:t>Ngày chi trả lương</w:t>
            </w:r>
          </w:p>
        </w:tc>
      </w:tr>
      <w:tr>
        <w:tc>
          <w:tcPr>
            <w:tcW w:type="dxa" w:w="3305"/>
            <w:vAlign w:val="center"/>
          </w:tcPr>
          <w:p>
            <w:pPr>
              <w:spacing w:after="0" w:line="240" w:lineRule="auto"/>
            </w:pPr>
            <w:r/>
            <w:r>
              <w:rPr>
                <w:rFonts w:ascii="Times New Roman" w:hAnsi="Times New Roman" w:eastAsia="Times New Roman"/>
                <w:b w:val="0"/>
                <w:i w:val="0"/>
                <w:sz w:val="17"/>
              </w:rPr>
              <w:t>PAY-03</w:t>
            </w:r>
          </w:p>
        </w:tc>
        <w:tc>
          <w:tcPr>
            <w:tcW w:type="dxa" w:w="3305"/>
            <w:vAlign w:val="center"/>
          </w:tcPr>
          <w:p>
            <w:pPr>
              <w:spacing w:after="0" w:line="240" w:lineRule="auto"/>
            </w:pPr>
            <w:r/>
            <w:r>
              <w:rPr>
                <w:rFonts w:ascii="Times New Roman" w:hAnsi="Times New Roman" w:eastAsia="Times New Roman"/>
                <w:b w:val="0"/>
                <w:i w:val="0"/>
                <w:sz w:val="17"/>
              </w:rPr>
              <w:t>Đề nghị trợ cấp điện thoại/xăng xe</w:t>
            </w:r>
          </w:p>
        </w:tc>
        <w:tc>
          <w:tcPr>
            <w:tcW w:type="dxa" w:w="3305"/>
            <w:vAlign w:val="center"/>
          </w:tcPr>
          <w:p>
            <w:pPr>
              <w:spacing w:after="0" w:line="240" w:lineRule="auto"/>
            </w:pPr>
            <w:r/>
            <w:r>
              <w:rPr>
                <w:rFonts w:ascii="Times New Roman" w:hAnsi="Times New Roman" w:eastAsia="Times New Roman"/>
                <w:b w:val="0"/>
                <w:i w:val="0"/>
                <w:sz w:val="17"/>
              </w:rPr>
              <w:t>Khi phát sinh hoặc thay đổi vị trí</w:t>
            </w:r>
          </w:p>
        </w:tc>
      </w:tr>
      <w:tr>
        <w:tc>
          <w:tcPr>
            <w:tcW w:type="dxa" w:w="3305"/>
            <w:vAlign w:val="center"/>
          </w:tcPr>
          <w:p>
            <w:pPr>
              <w:spacing w:after="0" w:line="240" w:lineRule="auto"/>
            </w:pPr>
            <w:r/>
            <w:r>
              <w:rPr>
                <w:rFonts w:ascii="Times New Roman" w:hAnsi="Times New Roman" w:eastAsia="Times New Roman"/>
                <w:b w:val="0"/>
                <w:i w:val="0"/>
                <w:sz w:val="17"/>
              </w:rPr>
              <w:t>PAY-04</w:t>
            </w:r>
          </w:p>
        </w:tc>
        <w:tc>
          <w:tcPr>
            <w:tcW w:type="dxa" w:w="3305"/>
            <w:vAlign w:val="center"/>
          </w:tcPr>
          <w:p>
            <w:pPr>
              <w:spacing w:after="0" w:line="240" w:lineRule="auto"/>
            </w:pPr>
            <w:r/>
            <w:r>
              <w:rPr>
                <w:rFonts w:ascii="Times New Roman" w:hAnsi="Times New Roman" w:eastAsia="Times New Roman"/>
                <w:b w:val="0"/>
                <w:i w:val="0"/>
                <w:sz w:val="17"/>
              </w:rPr>
              <w:t>Phiếu đề xuất tăng lương</w:t>
            </w:r>
          </w:p>
        </w:tc>
        <w:tc>
          <w:tcPr>
            <w:tcW w:type="dxa" w:w="3305"/>
            <w:vAlign w:val="center"/>
          </w:tcPr>
          <w:p>
            <w:pPr>
              <w:spacing w:after="0" w:line="240" w:lineRule="auto"/>
            </w:pPr>
            <w:r/>
            <w:r>
              <w:rPr>
                <w:rFonts w:ascii="Times New Roman" w:hAnsi="Times New Roman" w:eastAsia="Times New Roman"/>
                <w:b w:val="0"/>
                <w:i w:val="0"/>
                <w:sz w:val="17"/>
              </w:rPr>
              <w:t>Tháng 04 và tháng 10</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Nộp đối soát công/lương sau hạn do lỗi cá nhân</w:t>
            </w:r>
          </w:p>
        </w:tc>
        <w:tc>
          <w:tcPr>
            <w:tcW w:type="dxa" w:w="3305"/>
            <w:vAlign w:val="center"/>
          </w:tcPr>
          <w:p>
            <w:pPr>
              <w:spacing w:after="0" w:line="240" w:lineRule="auto"/>
            </w:pPr>
            <w:r/>
            <w:r>
              <w:rPr>
                <w:rFonts w:ascii="Times New Roman" w:hAnsi="Times New Roman" w:eastAsia="Times New Roman"/>
                <w:b w:val="0"/>
                <w:i w:val="0"/>
                <w:sz w:val="17"/>
              </w:rPr>
              <w:t>Chuyển điều chỉnh sang kỳ sau nếu không ảnh hưởng nghĩa vụ bắt buộc</w:t>
            </w:r>
          </w:p>
        </w:tc>
        <w:tc>
          <w:tcPr>
            <w:tcW w:type="dxa" w:w="3305"/>
            <w:vAlign w:val="center"/>
          </w:tcPr>
          <w:p>
            <w:pPr>
              <w:spacing w:after="0" w:line="240" w:lineRule="auto"/>
            </w:pPr>
            <w:r/>
            <w:r>
              <w:rPr>
                <w:rFonts w:ascii="Times New Roman" w:hAnsi="Times New Roman" w:eastAsia="Times New Roman"/>
                <w:b w:val="0"/>
                <w:i w:val="0"/>
                <w:sz w:val="17"/>
              </w:rPr>
              <w:t>Kỳ lương sau</w:t>
            </w:r>
          </w:p>
        </w:tc>
      </w:tr>
      <w:tr>
        <w:tc>
          <w:tcPr>
            <w:tcW w:type="dxa" w:w="3305"/>
            <w:vAlign w:val="center"/>
          </w:tcPr>
          <w:p>
            <w:pPr>
              <w:spacing w:after="0" w:line="240" w:lineRule="auto"/>
            </w:pPr>
            <w:r/>
            <w:r>
              <w:rPr>
                <w:rFonts w:ascii="Times New Roman" w:hAnsi="Times New Roman" w:eastAsia="Times New Roman"/>
                <w:b w:val="0"/>
                <w:i w:val="0"/>
                <w:sz w:val="17"/>
              </w:rPr>
              <w:t>Tiết lộ bảng lương người khác</w:t>
            </w:r>
          </w:p>
        </w:tc>
        <w:tc>
          <w:tcPr>
            <w:tcW w:type="dxa" w:w="3305"/>
            <w:vAlign w:val="center"/>
          </w:tcPr>
          <w:p>
            <w:pPr>
              <w:spacing w:after="0" w:line="240" w:lineRule="auto"/>
            </w:pPr>
            <w:r/>
            <w:r>
              <w:rPr>
                <w:rFonts w:ascii="Times New Roman" w:hAnsi="Times New Roman" w:eastAsia="Times New Roman"/>
                <w:b w:val="0"/>
                <w:i w:val="0"/>
                <w:sz w:val="17"/>
              </w:rPr>
              <w:t>Xử lý theo quy chế bảo mật và kỷ luật</w:t>
            </w:r>
          </w:p>
        </w:tc>
        <w:tc>
          <w:tcPr>
            <w:tcW w:type="dxa" w:w="3305"/>
            <w:vAlign w:val="center"/>
          </w:tcPr>
          <w:p>
            <w:pPr>
              <w:spacing w:after="0" w:line="240" w:lineRule="auto"/>
            </w:pPr>
            <w:r/>
            <w:r>
              <w:rPr>
                <w:rFonts w:ascii="Times New Roman" w:hAnsi="Times New Roman" w:eastAsia="Times New Roman"/>
                <w:b w:val="0"/>
                <w:i w:val="0"/>
                <w:sz w:val="17"/>
              </w:rPr>
              <w:t>Theo vụ việc</w:t>
            </w:r>
          </w:p>
        </w:tc>
      </w:tr>
      <w:tr>
        <w:tc>
          <w:tcPr>
            <w:tcW w:type="dxa" w:w="3305"/>
            <w:vAlign w:val="center"/>
          </w:tcPr>
          <w:p>
            <w:pPr>
              <w:spacing w:after="0" w:line="240" w:lineRule="auto"/>
            </w:pPr>
            <w:r/>
            <w:r>
              <w:rPr>
                <w:rFonts w:ascii="Times New Roman" w:hAnsi="Times New Roman" w:eastAsia="Times New Roman"/>
                <w:b w:val="0"/>
                <w:i w:val="0"/>
                <w:sz w:val="17"/>
              </w:rPr>
              <w:t>Khai sai ngày công/phụ cấp</w:t>
            </w:r>
          </w:p>
        </w:tc>
        <w:tc>
          <w:tcPr>
            <w:tcW w:type="dxa" w:w="3305"/>
            <w:vAlign w:val="center"/>
          </w:tcPr>
          <w:p>
            <w:pPr>
              <w:spacing w:after="0" w:line="240" w:lineRule="auto"/>
            </w:pPr>
            <w:r/>
            <w:r>
              <w:rPr>
                <w:rFonts w:ascii="Times New Roman" w:hAnsi="Times New Roman" w:eastAsia="Times New Roman"/>
                <w:b w:val="0"/>
                <w:i w:val="0"/>
                <w:sz w:val="17"/>
              </w:rPr>
              <w:t>Thu hồi khoản chi sai và xem xét trách nhiệm</w:t>
            </w:r>
          </w:p>
        </w:tc>
        <w:tc>
          <w:tcPr>
            <w:tcW w:type="dxa" w:w="3305"/>
            <w:vAlign w:val="center"/>
          </w:tcPr>
          <w:p>
            <w:pPr>
              <w:spacing w:after="0" w:line="240" w:lineRule="auto"/>
            </w:pPr>
            <w:r/>
            <w:r>
              <w:rPr>
                <w:rFonts w:ascii="Times New Roman" w:hAnsi="Times New Roman" w:eastAsia="Times New Roman"/>
                <w:b w:val="0"/>
                <w:i w:val="0"/>
                <w:sz w:val="17"/>
              </w:rPr>
              <w:t>05 ngày</w:t>
            </w:r>
          </w:p>
        </w:tc>
      </w:tr>
      <w:tr>
        <w:tc>
          <w:tcPr>
            <w:tcW w:type="dxa" w:w="3305"/>
            <w:vAlign w:val="center"/>
          </w:tcPr>
          <w:p>
            <w:pPr>
              <w:spacing w:after="0" w:line="240" w:lineRule="auto"/>
            </w:pPr>
            <w:r/>
            <w:r>
              <w:rPr>
                <w:rFonts w:ascii="Times New Roman" w:hAnsi="Times New Roman" w:eastAsia="Times New Roman"/>
                <w:b w:val="0"/>
                <w:i w:val="0"/>
                <w:sz w:val="17"/>
              </w:rPr>
              <w:t>Không hoàn ứng/công nợ quá hạn</w:t>
            </w:r>
          </w:p>
        </w:tc>
        <w:tc>
          <w:tcPr>
            <w:tcW w:type="dxa" w:w="3305"/>
            <w:vAlign w:val="center"/>
          </w:tcPr>
          <w:p>
            <w:pPr>
              <w:spacing w:after="0" w:line="240" w:lineRule="auto"/>
            </w:pPr>
            <w:r/>
            <w:r>
              <w:rPr>
                <w:rFonts w:ascii="Times New Roman" w:hAnsi="Times New Roman" w:eastAsia="Times New Roman"/>
                <w:b w:val="0"/>
                <w:i w:val="0"/>
                <w:sz w:val="17"/>
              </w:rPr>
              <w:t>Đối soát công nợ theo hồ sơ hợp lệ trước khi chi khoản không bắt buộc</w:t>
            </w:r>
          </w:p>
        </w:tc>
        <w:tc>
          <w:tcPr>
            <w:tcW w:type="dxa" w:w="3305"/>
            <w:vAlign w:val="center"/>
          </w:tcPr>
          <w:p>
            <w:pPr>
              <w:spacing w:after="0" w:line="240" w:lineRule="auto"/>
            </w:pPr>
            <w:r/>
            <w:r>
              <w:rPr>
                <w:rFonts w:ascii="Times New Roman" w:hAnsi="Times New Roman" w:eastAsia="Times New Roman"/>
                <w:b w:val="0"/>
                <w:i w:val="0"/>
                <w:sz w:val="17"/>
              </w:rPr>
              <w:t>05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Tài chính và Phòng Nhân sự</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VSF-TCNS-02-V2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