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11/2026/QĐ-VSF-TCNS-03</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CHẾ</w:t>
      </w:r>
    </w:p>
    <w:p>
      <w:pPr>
        <w:spacing w:after="200" w:before="0" w:line="269" w:lineRule="auto"/>
        <w:jc w:val="center"/>
      </w:pPr>
      <w:r>
        <w:rPr>
          <w:rFonts w:ascii="Times New Roman" w:hAnsi="Times New Roman" w:eastAsia="Times New Roman"/>
          <w:b/>
          <w:i w:val="0"/>
          <w:sz w:val="36"/>
        </w:rPr>
        <w:t>QUY CHẾ KHEN THƯỞNG, PHÚC LỢI, HIẾU HỶ, COMPANY TRIP VÀ TEAM BUILDING</w:t>
      </w:r>
    </w:p>
    <w:p>
      <w:pPr>
        <w:spacing w:after="100" w:before="0" w:line="269" w:lineRule="auto"/>
        <w:jc w:val="center"/>
      </w:pPr>
      <w:r>
        <w:rPr>
          <w:rFonts w:ascii="Times New Roman" w:hAnsi="Times New Roman" w:eastAsia="Times New Roman"/>
          <w:b w:val="0"/>
          <w:i/>
          <w:sz w:val="24"/>
        </w:rPr>
        <w:t>(Ban hành kèm theo Quyết định số 11/2026/QĐ-VSF-TCNS-03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VSF-TCNS-03-V2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Phòng Nhân sự, Tài chính và Công đoàn cơ sở</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11/2026/QĐ-VSF-TCNS-03</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chế quy chế khen thưởng, phúc lợi, hiếu hỷ, company trip và team building</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chế “Quy chế khen thưởng, phúc lợi, hiếu hỷ, company trip và team building”.</w:t>
      </w:r>
    </w:p>
    <w:p>
      <w:pPr>
        <w:spacing w:after="100" w:before="0" w:line="269" w:lineRule="auto"/>
      </w:pPr>
      <w:r>
        <w:rPr>
          <w:rFonts w:ascii="Times New Roman" w:hAnsi="Times New Roman" w:eastAsia="Times New Roman"/>
          <w:b w:val="0"/>
          <w:i w:val="0"/>
          <w:sz w:val="24"/>
        </w:rPr>
        <w:t>Điều 2. Phòng Nhân sự, Tài chính và Công đoàn cơ sở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Định Cụ Thể Về Khen Thưởng Và Phúc Lợi</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khen thưởng, phúc lợi, hiếu hỷ, company trip và team building.</w:t>
      </w:r>
    </w:p>
    <w:p>
      <w:pPr>
        <w:spacing w:after="80" w:before="0" w:line="269" w:lineRule="auto"/>
        <w:ind w:firstLine="283"/>
      </w:pPr>
      <w:r>
        <w:rPr>
          <w:rFonts w:ascii="Times New Roman" w:hAnsi="Times New Roman" w:eastAsia="Times New Roman"/>
          <w:b w:val="0"/>
          <w:i w:val="0"/>
          <w:sz w:val="24"/>
        </w:rPr>
        <w:t>2. Nội dung chỉ áp dụng trong phạm vi khen thưởng, phúc lợi, hiếu hỷ, company trip và team building;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Phòng Nhân sự, Tài chính và Công đoàn cơ sở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ĐỊNH CỤ THỂ VỀ KHEN THƯỞNG VÀ PHÚC LỢI</w:t>
      </w:r>
    </w:p>
    <w:p>
      <w:pPr>
        <w:spacing w:after="100" w:before="80" w:line="269" w:lineRule="auto"/>
      </w:pPr>
      <w:r>
        <w:rPr>
          <w:rFonts w:ascii="Times New Roman" w:hAnsi="Times New Roman" w:eastAsia="Times New Roman"/>
          <w:b/>
          <w:i w:val="0"/>
          <w:sz w:val="26"/>
        </w:rPr>
        <w:t>Điều 5. Nguyên tắc khen thưởng và ngân sách phúc lợi</w:t>
      </w:r>
    </w:p>
    <w:p>
      <w:pPr>
        <w:spacing w:after="80" w:before="0" w:line="269" w:lineRule="auto"/>
        <w:ind w:firstLine="283"/>
      </w:pPr>
      <w:r>
        <w:rPr>
          <w:rFonts w:ascii="Times New Roman" w:hAnsi="Times New Roman" w:eastAsia="Times New Roman"/>
          <w:b w:val="0"/>
          <w:i w:val="0"/>
          <w:sz w:val="24"/>
        </w:rPr>
        <w:t>1. Khen thưởng, phúc lợi được thực hiện theo ngân sách hằng năm, kết quả kinh doanh, điều kiện hưởng và hồ sơ hợp lệ.</w:t>
      </w:r>
    </w:p>
    <w:p>
      <w:pPr>
        <w:spacing w:after="80" w:before="0" w:line="269" w:lineRule="auto"/>
        <w:ind w:firstLine="283"/>
      </w:pPr>
      <w:r>
        <w:rPr>
          <w:rFonts w:ascii="Times New Roman" w:hAnsi="Times New Roman" w:eastAsia="Times New Roman"/>
          <w:b w:val="0"/>
          <w:i w:val="0"/>
          <w:sz w:val="24"/>
        </w:rPr>
        <w:t>2. Khoản thưởng không phải là quyền đương nhiên nếu người lao động không đáp ứng điều kiện về thời gian làm việc, hiệu suất, tuân thủ hoặc trạng thái lao động tại thời điểm chi trả.</w:t>
      </w:r>
    </w:p>
    <w:p>
      <w:pPr>
        <w:spacing w:after="80" w:before="0" w:line="269" w:lineRule="auto"/>
        <w:ind w:firstLine="283"/>
      </w:pPr>
      <w:r>
        <w:rPr>
          <w:rFonts w:ascii="Times New Roman" w:hAnsi="Times New Roman" w:eastAsia="Times New Roman"/>
          <w:b w:val="0"/>
          <w:i w:val="0"/>
          <w:sz w:val="24"/>
        </w:rPr>
        <w:t>3. Không chi trùng một sự kiện bằng nhiều chính sách nếu không có phê duyệt riêng.</w:t>
      </w:r>
    </w:p>
    <w:p>
      <w:pPr>
        <w:spacing w:after="80" w:before="0" w:line="269" w:lineRule="auto"/>
        <w:ind w:firstLine="283"/>
      </w:pPr>
      <w:r>
        <w:rPr>
          <w:rFonts w:ascii="Times New Roman" w:hAnsi="Times New Roman" w:eastAsia="Times New Roman"/>
          <w:b w:val="0"/>
          <w:i w:val="0"/>
          <w:sz w:val="24"/>
        </w:rPr>
        <w:t>4. Danh sách chi phúc lợi phải được HR lập, Tài chính kiểm tra và cấp có thẩm quyền phê duyệt trước khi thanh toán.</w:t>
      </w:r>
    </w:p>
    <w:p>
      <w:pPr>
        <w:spacing w:after="100" w:before="80" w:line="269" w:lineRule="auto"/>
      </w:pPr>
      <w:r>
        <w:rPr>
          <w:rFonts w:ascii="Times New Roman" w:hAnsi="Times New Roman" w:eastAsia="Times New Roman"/>
          <w:b/>
          <w:i w:val="0"/>
          <w:sz w:val="26"/>
        </w:rPr>
        <w:t>Điều 6. Thưởng KPI, thưởng dự án và thưởng sáng kiến</w:t>
      </w:r>
    </w:p>
    <w:p>
      <w:pPr>
        <w:spacing w:after="80" w:before="0" w:line="269" w:lineRule="auto"/>
        <w:ind w:firstLine="283"/>
      </w:pPr>
      <w:r>
        <w:rPr>
          <w:rFonts w:ascii="Times New Roman" w:hAnsi="Times New Roman" w:eastAsia="Times New Roman"/>
          <w:b w:val="0"/>
          <w:i w:val="0"/>
          <w:sz w:val="24"/>
        </w:rPr>
        <w:t>1. Thưởng KPI định kỳ được xét theo quý/năm, dựa trên kết quả mục tiêu cá nhân, mục tiêu phòng ban và kết quả kinh doanh của Công ty.</w:t>
      </w:r>
    </w:p>
    <w:p>
      <w:pPr>
        <w:spacing w:after="80" w:before="0" w:line="269" w:lineRule="auto"/>
        <w:ind w:firstLine="283"/>
      </w:pPr>
      <w:r>
        <w:rPr>
          <w:rFonts w:ascii="Times New Roman" w:hAnsi="Times New Roman" w:eastAsia="Times New Roman"/>
          <w:b w:val="0"/>
          <w:i w:val="0"/>
          <w:sz w:val="24"/>
        </w:rPr>
        <w:t>2. Thưởng dự án áp dụng cho dự án hoàn thành đúng mục tiêu, đúng ngân sách, có nghiệm thu và có đóng góp vượt yêu cầu thông thường.</w:t>
      </w:r>
    </w:p>
    <w:p>
      <w:pPr>
        <w:spacing w:after="80" w:before="0" w:line="269" w:lineRule="auto"/>
        <w:ind w:firstLine="283"/>
      </w:pPr>
      <w:r>
        <w:rPr>
          <w:rFonts w:ascii="Times New Roman" w:hAnsi="Times New Roman" w:eastAsia="Times New Roman"/>
          <w:b w:val="0"/>
          <w:i w:val="0"/>
          <w:sz w:val="24"/>
        </w:rPr>
        <w:t>3. Thưởng sáng kiến áp dụng cho đề xuất giúp tiết kiệm chi phí, tăng doanh thu, giảm rủi ro, cải tiến quy trình hoặc nâng cao trải nghiệm khách hàng.</w:t>
      </w:r>
    </w:p>
    <w:p>
      <w:pPr>
        <w:spacing w:after="80" w:before="0" w:line="269" w:lineRule="auto"/>
        <w:ind w:firstLine="283"/>
      </w:pPr>
      <w:r>
        <w:rPr>
          <w:rFonts w:ascii="Times New Roman" w:hAnsi="Times New Roman" w:eastAsia="Times New Roman"/>
          <w:b w:val="0"/>
          <w:i w:val="0"/>
          <w:sz w:val="24"/>
        </w:rPr>
        <w:t>4. Người vi phạm kỷ luật từ mức khiển trách bằng văn bản trong kỳ xét thưởng có thể bị giảm hoặc không xét khoản thưởng không bắt buộc.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Loại thưởng</w:t>
            </w:r>
          </w:p>
        </w:tc>
        <w:tc>
          <w:tcPr>
            <w:tcW w:type="dxa" w:w="3305"/>
            <w:vAlign w:val="center"/>
          </w:tcPr>
          <w:p>
            <w:pPr>
              <w:spacing w:after="0" w:line="240" w:lineRule="auto"/>
              <w:jc w:val="center"/>
            </w:pPr>
            <w:r/>
            <w:r>
              <w:rPr>
                <w:rFonts w:ascii="Times New Roman" w:hAnsi="Times New Roman" w:eastAsia="Times New Roman"/>
                <w:b/>
                <w:i w:val="0"/>
                <w:sz w:val="18"/>
              </w:rPr>
              <w:t>Mức tham chiếu</w:t>
            </w:r>
          </w:p>
        </w:tc>
        <w:tc>
          <w:tcPr>
            <w:tcW w:type="dxa" w:w="3305"/>
            <w:vAlign w:val="center"/>
          </w:tcPr>
          <w:p>
            <w:pPr>
              <w:spacing w:after="0" w:line="240" w:lineRule="auto"/>
              <w:jc w:val="center"/>
            </w:pPr>
            <w:r/>
            <w:r>
              <w:rPr>
                <w:rFonts w:ascii="Times New Roman" w:hAnsi="Times New Roman" w:eastAsia="Times New Roman"/>
                <w:b/>
                <w:i w:val="0"/>
                <w:sz w:val="18"/>
              </w:rPr>
              <w:t>Điều kiện chính</w:t>
            </w:r>
          </w:p>
        </w:tc>
      </w:tr>
      <w:tr>
        <w:tc>
          <w:tcPr>
            <w:tcW w:type="dxa" w:w="3305"/>
            <w:vAlign w:val="center"/>
          </w:tcPr>
          <w:p>
            <w:pPr>
              <w:spacing w:after="0" w:line="240" w:lineRule="auto"/>
            </w:pPr>
            <w:r/>
            <w:r>
              <w:rPr>
                <w:rFonts w:ascii="Times New Roman" w:hAnsi="Times New Roman" w:eastAsia="Times New Roman"/>
                <w:b w:val="0"/>
                <w:i w:val="0"/>
                <w:sz w:val="18"/>
              </w:rPr>
              <w:t>KPI quý</w:t>
            </w:r>
          </w:p>
        </w:tc>
        <w:tc>
          <w:tcPr>
            <w:tcW w:type="dxa" w:w="3305"/>
            <w:vAlign w:val="center"/>
          </w:tcPr>
          <w:p>
            <w:pPr>
              <w:spacing w:after="0" w:line="240" w:lineRule="auto"/>
            </w:pPr>
            <w:r/>
            <w:r>
              <w:rPr>
                <w:rFonts w:ascii="Times New Roman" w:hAnsi="Times New Roman" w:eastAsia="Times New Roman"/>
                <w:b w:val="0"/>
                <w:i w:val="0"/>
                <w:sz w:val="18"/>
              </w:rPr>
              <w:t>0,2-0,5 tháng lương</w:t>
            </w:r>
          </w:p>
        </w:tc>
        <w:tc>
          <w:tcPr>
            <w:tcW w:type="dxa" w:w="3305"/>
            <w:vAlign w:val="center"/>
          </w:tcPr>
          <w:p>
            <w:pPr>
              <w:spacing w:after="0" w:line="240" w:lineRule="auto"/>
            </w:pPr>
            <w:r/>
            <w:r>
              <w:rPr>
                <w:rFonts w:ascii="Times New Roman" w:hAnsi="Times New Roman" w:eastAsia="Times New Roman"/>
                <w:b w:val="0"/>
                <w:i w:val="0"/>
                <w:sz w:val="18"/>
              </w:rPr>
              <w:t>KPI từ Tốt trở lên và phòng ban đạt mục tiêu</w:t>
            </w:r>
          </w:p>
        </w:tc>
      </w:tr>
      <w:tr>
        <w:tc>
          <w:tcPr>
            <w:tcW w:type="dxa" w:w="3305"/>
            <w:vAlign w:val="center"/>
          </w:tcPr>
          <w:p>
            <w:pPr>
              <w:spacing w:after="0" w:line="240" w:lineRule="auto"/>
            </w:pPr>
            <w:r/>
            <w:r>
              <w:rPr>
                <w:rFonts w:ascii="Times New Roman" w:hAnsi="Times New Roman" w:eastAsia="Times New Roman"/>
                <w:b w:val="0"/>
                <w:i w:val="0"/>
                <w:sz w:val="18"/>
              </w:rPr>
              <w:t>KPI năm</w:t>
            </w:r>
          </w:p>
        </w:tc>
        <w:tc>
          <w:tcPr>
            <w:tcW w:type="dxa" w:w="3305"/>
            <w:vAlign w:val="center"/>
          </w:tcPr>
          <w:p>
            <w:pPr>
              <w:spacing w:after="0" w:line="240" w:lineRule="auto"/>
            </w:pPr>
            <w:r/>
            <w:r>
              <w:rPr>
                <w:rFonts w:ascii="Times New Roman" w:hAnsi="Times New Roman" w:eastAsia="Times New Roman"/>
                <w:b w:val="0"/>
                <w:i w:val="0"/>
                <w:sz w:val="18"/>
              </w:rPr>
              <w:t>0,5-2 tháng lương</w:t>
            </w:r>
          </w:p>
        </w:tc>
        <w:tc>
          <w:tcPr>
            <w:tcW w:type="dxa" w:w="3305"/>
            <w:vAlign w:val="center"/>
          </w:tcPr>
          <w:p>
            <w:pPr>
              <w:spacing w:after="0" w:line="240" w:lineRule="auto"/>
            </w:pPr>
            <w:r/>
            <w:r>
              <w:rPr>
                <w:rFonts w:ascii="Times New Roman" w:hAnsi="Times New Roman" w:eastAsia="Times New Roman"/>
                <w:b w:val="0"/>
                <w:i w:val="0"/>
                <w:sz w:val="18"/>
              </w:rPr>
              <w:t>Kết quả năm và ngân sách được duyệt</w:t>
            </w:r>
          </w:p>
        </w:tc>
      </w:tr>
      <w:tr>
        <w:tc>
          <w:tcPr>
            <w:tcW w:type="dxa" w:w="3305"/>
            <w:vAlign w:val="center"/>
          </w:tcPr>
          <w:p>
            <w:pPr>
              <w:spacing w:after="0" w:line="240" w:lineRule="auto"/>
            </w:pPr>
            <w:r/>
            <w:r>
              <w:rPr>
                <w:rFonts w:ascii="Times New Roman" w:hAnsi="Times New Roman" w:eastAsia="Times New Roman"/>
                <w:b w:val="0"/>
                <w:i w:val="0"/>
                <w:sz w:val="18"/>
              </w:rPr>
              <w:t>Thưởng dự án</w:t>
            </w:r>
          </w:p>
        </w:tc>
        <w:tc>
          <w:tcPr>
            <w:tcW w:type="dxa" w:w="3305"/>
            <w:vAlign w:val="center"/>
          </w:tcPr>
          <w:p>
            <w:pPr>
              <w:spacing w:after="0" w:line="240" w:lineRule="auto"/>
            </w:pPr>
            <w:r/>
            <w:r>
              <w:rPr>
                <w:rFonts w:ascii="Times New Roman" w:hAnsi="Times New Roman" w:eastAsia="Times New Roman"/>
                <w:b w:val="0"/>
                <w:i w:val="0"/>
                <w:sz w:val="18"/>
              </w:rPr>
              <w:t>1.000.000-20.000.000 đồng/người</w:t>
            </w:r>
          </w:p>
        </w:tc>
        <w:tc>
          <w:tcPr>
            <w:tcW w:type="dxa" w:w="3305"/>
            <w:vAlign w:val="center"/>
          </w:tcPr>
          <w:p>
            <w:pPr>
              <w:spacing w:after="0" w:line="240" w:lineRule="auto"/>
            </w:pPr>
            <w:r/>
            <w:r>
              <w:rPr>
                <w:rFonts w:ascii="Times New Roman" w:hAnsi="Times New Roman" w:eastAsia="Times New Roman"/>
                <w:b w:val="0"/>
                <w:i w:val="0"/>
                <w:sz w:val="18"/>
              </w:rPr>
              <w:t>Theo vai trò và nghiệm thu</w:t>
            </w:r>
          </w:p>
        </w:tc>
      </w:tr>
      <w:tr>
        <w:tc>
          <w:tcPr>
            <w:tcW w:type="dxa" w:w="3305"/>
            <w:vAlign w:val="center"/>
          </w:tcPr>
          <w:p>
            <w:pPr>
              <w:spacing w:after="0" w:line="240" w:lineRule="auto"/>
            </w:pPr>
            <w:r/>
            <w:r>
              <w:rPr>
                <w:rFonts w:ascii="Times New Roman" w:hAnsi="Times New Roman" w:eastAsia="Times New Roman"/>
                <w:b w:val="0"/>
                <w:i w:val="0"/>
                <w:sz w:val="18"/>
              </w:rPr>
              <w:t>Thưởng sáng kiến</w:t>
            </w:r>
          </w:p>
        </w:tc>
        <w:tc>
          <w:tcPr>
            <w:tcW w:type="dxa" w:w="3305"/>
            <w:vAlign w:val="center"/>
          </w:tcPr>
          <w:p>
            <w:pPr>
              <w:spacing w:after="0" w:line="240" w:lineRule="auto"/>
            </w:pPr>
            <w:r/>
            <w:r>
              <w:rPr>
                <w:rFonts w:ascii="Times New Roman" w:hAnsi="Times New Roman" w:eastAsia="Times New Roman"/>
                <w:b w:val="0"/>
                <w:i w:val="0"/>
                <w:sz w:val="18"/>
              </w:rPr>
              <w:t>500.000-10.000.000 đồng/sáng kiến</w:t>
            </w:r>
          </w:p>
        </w:tc>
        <w:tc>
          <w:tcPr>
            <w:tcW w:type="dxa" w:w="3305"/>
            <w:vAlign w:val="center"/>
          </w:tcPr>
          <w:p>
            <w:pPr>
              <w:spacing w:after="0" w:line="240" w:lineRule="auto"/>
            </w:pPr>
            <w:r/>
            <w:r>
              <w:rPr>
                <w:rFonts w:ascii="Times New Roman" w:hAnsi="Times New Roman" w:eastAsia="Times New Roman"/>
                <w:b w:val="0"/>
                <w:i w:val="0"/>
                <w:sz w:val="18"/>
              </w:rPr>
              <w:t>Có hiệu quả được xác nhận</w:t>
            </w:r>
          </w:p>
        </w:tc>
      </w:tr>
    </w:tbl>
    <w:p>
      <w:pPr>
        <w:spacing w:after="40" w:before="0" w:line="269" w:lineRule="auto"/>
      </w:pPr>
    </w:p>
    <w:p>
      <w:pPr>
        <w:spacing w:after="100" w:before="80" w:line="269" w:lineRule="auto"/>
      </w:pPr>
      <w:r>
        <w:rPr>
          <w:rFonts w:ascii="Times New Roman" w:hAnsi="Times New Roman" w:eastAsia="Times New Roman"/>
          <w:b/>
          <w:i w:val="0"/>
          <w:sz w:val="26"/>
        </w:rPr>
        <w:t>Điều 7. Thưởng lễ, Tết và sự kiện Công ty</w:t>
      </w:r>
    </w:p>
    <w:p>
      <w:pPr>
        <w:spacing w:after="80" w:before="0" w:line="269" w:lineRule="auto"/>
        <w:ind w:firstLine="283"/>
      </w:pPr>
      <w:r>
        <w:rPr>
          <w:rFonts w:ascii="Times New Roman" w:hAnsi="Times New Roman" w:eastAsia="Times New Roman"/>
          <w:b w:val="0"/>
          <w:i w:val="0"/>
          <w:sz w:val="24"/>
        </w:rPr>
        <w:t>1. Thưởng Tết Dương lịch tham chiếu 500.000-1.000.000 đồng/người tùy ngân sách.</w:t>
      </w:r>
    </w:p>
    <w:p>
      <w:pPr>
        <w:spacing w:after="80" w:before="0" w:line="269" w:lineRule="auto"/>
        <w:ind w:firstLine="283"/>
      </w:pPr>
      <w:r>
        <w:rPr>
          <w:rFonts w:ascii="Times New Roman" w:hAnsi="Times New Roman" w:eastAsia="Times New Roman"/>
          <w:b w:val="0"/>
          <w:i w:val="0"/>
          <w:sz w:val="24"/>
        </w:rPr>
        <w:t>2. Thưởng Tết Âm lịch tham chiếu 01 tháng lương cơ bản hoặc mức khác do Ban Tổng Giám đốc phê duyệt theo kết quả kinh doanh.</w:t>
      </w:r>
    </w:p>
    <w:p>
      <w:pPr>
        <w:spacing w:after="80" w:before="0" w:line="269" w:lineRule="auto"/>
        <w:ind w:firstLine="283"/>
      </w:pPr>
      <w:r>
        <w:rPr>
          <w:rFonts w:ascii="Times New Roman" w:hAnsi="Times New Roman" w:eastAsia="Times New Roman"/>
          <w:b w:val="0"/>
          <w:i w:val="0"/>
          <w:sz w:val="24"/>
        </w:rPr>
        <w:t>3. Quà lễ 30/4-1/5, Quốc khánh, Trung thu hoặc ngày thành lập Công ty tham chiếu 300.000-1.000.000 đồng/người/sự kiện.</w:t>
      </w:r>
    </w:p>
    <w:p>
      <w:pPr>
        <w:spacing w:after="80" w:before="0" w:line="269" w:lineRule="auto"/>
        <w:ind w:firstLine="283"/>
      </w:pPr>
      <w:r>
        <w:rPr>
          <w:rFonts w:ascii="Times New Roman" w:hAnsi="Times New Roman" w:eastAsia="Times New Roman"/>
          <w:b w:val="0"/>
          <w:i w:val="0"/>
          <w:sz w:val="24"/>
        </w:rPr>
        <w:t>4. Nhân sự thử việc, nghỉ không lương dài ngày hoặc vào/nghỉ trong kỳ được tính theo tỷ lệ thời gian làm việc thực tế nếu chính sách đợt đó cho phép.</w:t>
      </w:r>
    </w:p>
    <w:p>
      <w:pPr>
        <w:spacing w:after="100" w:before="80" w:line="269" w:lineRule="auto"/>
      </w:pPr>
      <w:r>
        <w:rPr>
          <w:rFonts w:ascii="Times New Roman" w:hAnsi="Times New Roman" w:eastAsia="Times New Roman"/>
          <w:b/>
          <w:i w:val="0"/>
          <w:sz w:val="26"/>
        </w:rPr>
        <w:t>Điều 8. Hiếu hỷ, sinh nhật và thăm ốm</w:t>
      </w:r>
    </w:p>
    <w:p>
      <w:pPr>
        <w:spacing w:after="80" w:before="0" w:line="269" w:lineRule="auto"/>
        <w:ind w:firstLine="283"/>
      </w:pPr>
      <w:r>
        <w:rPr>
          <w:rFonts w:ascii="Times New Roman" w:hAnsi="Times New Roman" w:eastAsia="Times New Roman"/>
          <w:b w:val="0"/>
          <w:i w:val="0"/>
          <w:sz w:val="24"/>
        </w:rPr>
        <w:t>1. Sinh nhật nhân viên: quà hoặc tiền mặt 500.000 đồng/người/năm.</w:t>
      </w:r>
    </w:p>
    <w:p>
      <w:pPr>
        <w:spacing w:after="80" w:before="0" w:line="269" w:lineRule="auto"/>
        <w:ind w:firstLine="283"/>
      </w:pPr>
      <w:r>
        <w:rPr>
          <w:rFonts w:ascii="Times New Roman" w:hAnsi="Times New Roman" w:eastAsia="Times New Roman"/>
          <w:b w:val="0"/>
          <w:i w:val="0"/>
          <w:sz w:val="24"/>
        </w:rPr>
        <w:t>2. Nhân viên kết hôn: 3.000.000 đồng/lần; con của nhân viên kết hôn: 1.000.000 đồng/lần.</w:t>
      </w:r>
    </w:p>
    <w:p>
      <w:pPr>
        <w:spacing w:after="80" w:before="0" w:line="269" w:lineRule="auto"/>
        <w:ind w:firstLine="283"/>
      </w:pPr>
      <w:r>
        <w:rPr>
          <w:rFonts w:ascii="Times New Roman" w:hAnsi="Times New Roman" w:eastAsia="Times New Roman"/>
          <w:b w:val="0"/>
          <w:i w:val="0"/>
          <w:sz w:val="24"/>
        </w:rPr>
        <w:t>3. Tang chế: bản thân người lao động mất hỗ trợ 10.000.000 đồng; bố/mẹ/vợ/chồng/con mất hỗ trợ 5.000.000 đồng/lần.</w:t>
      </w:r>
    </w:p>
    <w:p>
      <w:pPr>
        <w:spacing w:after="80" w:before="0" w:line="269" w:lineRule="auto"/>
        <w:ind w:firstLine="283"/>
      </w:pPr>
      <w:r>
        <w:rPr>
          <w:rFonts w:ascii="Times New Roman" w:hAnsi="Times New Roman" w:eastAsia="Times New Roman"/>
          <w:b w:val="0"/>
          <w:i w:val="0"/>
          <w:sz w:val="24"/>
        </w:rPr>
        <w:t>4. Thăm ốm nội trú từ 03 ngày trở lên hỗ trợ 1.000.000 đồng/lần, tối đa 02 lần/năm/người.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Sự kiện</w:t>
            </w:r>
          </w:p>
        </w:tc>
        <w:tc>
          <w:tcPr>
            <w:tcW w:type="dxa" w:w="3305"/>
            <w:vAlign w:val="center"/>
          </w:tcPr>
          <w:p>
            <w:pPr>
              <w:spacing w:after="0" w:line="240" w:lineRule="auto"/>
              <w:jc w:val="center"/>
            </w:pPr>
            <w:r/>
            <w:r>
              <w:rPr>
                <w:rFonts w:ascii="Times New Roman" w:hAnsi="Times New Roman" w:eastAsia="Times New Roman"/>
                <w:b/>
                <w:i w:val="0"/>
                <w:sz w:val="18"/>
              </w:rPr>
              <w:t>Mức phúc lợi</w:t>
            </w:r>
          </w:p>
        </w:tc>
        <w:tc>
          <w:tcPr>
            <w:tcW w:type="dxa" w:w="3305"/>
            <w:vAlign w:val="center"/>
          </w:tcPr>
          <w:p>
            <w:pPr>
              <w:spacing w:after="0" w:line="240" w:lineRule="auto"/>
              <w:jc w:val="center"/>
            </w:pPr>
            <w:r/>
            <w:r>
              <w:rPr>
                <w:rFonts w:ascii="Times New Roman" w:hAnsi="Times New Roman" w:eastAsia="Times New Roman"/>
                <w:b/>
                <w:i w:val="0"/>
                <w:sz w:val="18"/>
              </w:rPr>
              <w:t>Hồ sơ</w:t>
            </w:r>
          </w:p>
        </w:tc>
      </w:tr>
      <w:tr>
        <w:tc>
          <w:tcPr>
            <w:tcW w:type="dxa" w:w="3305"/>
            <w:vAlign w:val="center"/>
          </w:tcPr>
          <w:p>
            <w:pPr>
              <w:spacing w:after="0" w:line="240" w:lineRule="auto"/>
            </w:pPr>
            <w:r/>
            <w:r>
              <w:rPr>
                <w:rFonts w:ascii="Times New Roman" w:hAnsi="Times New Roman" w:eastAsia="Times New Roman"/>
                <w:b w:val="0"/>
                <w:i w:val="0"/>
                <w:sz w:val="18"/>
              </w:rPr>
              <w:t>Sinh nhật</w:t>
            </w:r>
          </w:p>
        </w:tc>
        <w:tc>
          <w:tcPr>
            <w:tcW w:type="dxa" w:w="3305"/>
            <w:vAlign w:val="center"/>
          </w:tcPr>
          <w:p>
            <w:pPr>
              <w:spacing w:after="0" w:line="240" w:lineRule="auto"/>
            </w:pPr>
            <w:r/>
            <w:r>
              <w:rPr>
                <w:rFonts w:ascii="Times New Roman" w:hAnsi="Times New Roman" w:eastAsia="Times New Roman"/>
                <w:b w:val="0"/>
                <w:i w:val="0"/>
                <w:sz w:val="18"/>
              </w:rPr>
              <w:t>500.000 đồng</w:t>
            </w:r>
          </w:p>
        </w:tc>
        <w:tc>
          <w:tcPr>
            <w:tcW w:type="dxa" w:w="3305"/>
            <w:vAlign w:val="center"/>
          </w:tcPr>
          <w:p>
            <w:pPr>
              <w:spacing w:after="0" w:line="240" w:lineRule="auto"/>
            </w:pPr>
            <w:r/>
            <w:r>
              <w:rPr>
                <w:rFonts w:ascii="Times New Roman" w:hAnsi="Times New Roman" w:eastAsia="Times New Roman"/>
                <w:b w:val="0"/>
                <w:i w:val="0"/>
                <w:sz w:val="18"/>
              </w:rPr>
              <w:t>Danh sách HR</w:t>
            </w:r>
          </w:p>
        </w:tc>
      </w:tr>
      <w:tr>
        <w:tc>
          <w:tcPr>
            <w:tcW w:type="dxa" w:w="3305"/>
            <w:vAlign w:val="center"/>
          </w:tcPr>
          <w:p>
            <w:pPr>
              <w:spacing w:after="0" w:line="240" w:lineRule="auto"/>
            </w:pPr>
            <w:r/>
            <w:r>
              <w:rPr>
                <w:rFonts w:ascii="Times New Roman" w:hAnsi="Times New Roman" w:eastAsia="Times New Roman"/>
                <w:b w:val="0"/>
                <w:i w:val="0"/>
                <w:sz w:val="18"/>
              </w:rPr>
              <w:t>Kết hôn nhân viên</w:t>
            </w:r>
          </w:p>
        </w:tc>
        <w:tc>
          <w:tcPr>
            <w:tcW w:type="dxa" w:w="3305"/>
            <w:vAlign w:val="center"/>
          </w:tcPr>
          <w:p>
            <w:pPr>
              <w:spacing w:after="0" w:line="240" w:lineRule="auto"/>
            </w:pPr>
            <w:r/>
            <w:r>
              <w:rPr>
                <w:rFonts w:ascii="Times New Roman" w:hAnsi="Times New Roman" w:eastAsia="Times New Roman"/>
                <w:b w:val="0"/>
                <w:i w:val="0"/>
                <w:sz w:val="18"/>
              </w:rPr>
              <w:t>3.000.000 đồng</w:t>
            </w:r>
          </w:p>
        </w:tc>
        <w:tc>
          <w:tcPr>
            <w:tcW w:type="dxa" w:w="3305"/>
            <w:vAlign w:val="center"/>
          </w:tcPr>
          <w:p>
            <w:pPr>
              <w:spacing w:after="0" w:line="240" w:lineRule="auto"/>
            </w:pPr>
            <w:r/>
            <w:r>
              <w:rPr>
                <w:rFonts w:ascii="Times New Roman" w:hAnsi="Times New Roman" w:eastAsia="Times New Roman"/>
                <w:b w:val="0"/>
                <w:i w:val="0"/>
                <w:sz w:val="18"/>
              </w:rPr>
              <w:t>Giấy đăng ký kết hôn/thiệp mời</w:t>
            </w:r>
          </w:p>
        </w:tc>
      </w:tr>
      <w:tr>
        <w:tc>
          <w:tcPr>
            <w:tcW w:type="dxa" w:w="3305"/>
            <w:vAlign w:val="center"/>
          </w:tcPr>
          <w:p>
            <w:pPr>
              <w:spacing w:after="0" w:line="240" w:lineRule="auto"/>
            </w:pPr>
            <w:r/>
            <w:r>
              <w:rPr>
                <w:rFonts w:ascii="Times New Roman" w:hAnsi="Times New Roman" w:eastAsia="Times New Roman"/>
                <w:b w:val="0"/>
                <w:i w:val="0"/>
                <w:sz w:val="18"/>
              </w:rPr>
              <w:t>Tang chế thân nhân</w:t>
            </w:r>
          </w:p>
        </w:tc>
        <w:tc>
          <w:tcPr>
            <w:tcW w:type="dxa" w:w="3305"/>
            <w:vAlign w:val="center"/>
          </w:tcPr>
          <w:p>
            <w:pPr>
              <w:spacing w:after="0" w:line="240" w:lineRule="auto"/>
            </w:pPr>
            <w:r/>
            <w:r>
              <w:rPr>
                <w:rFonts w:ascii="Times New Roman" w:hAnsi="Times New Roman" w:eastAsia="Times New Roman"/>
                <w:b w:val="0"/>
                <w:i w:val="0"/>
                <w:sz w:val="18"/>
              </w:rPr>
              <w:t>5.000.000 đồng</w:t>
            </w:r>
          </w:p>
        </w:tc>
        <w:tc>
          <w:tcPr>
            <w:tcW w:type="dxa" w:w="3305"/>
            <w:vAlign w:val="center"/>
          </w:tcPr>
          <w:p>
            <w:pPr>
              <w:spacing w:after="0" w:line="240" w:lineRule="auto"/>
            </w:pPr>
            <w:r/>
            <w:r>
              <w:rPr>
                <w:rFonts w:ascii="Times New Roman" w:hAnsi="Times New Roman" w:eastAsia="Times New Roman"/>
                <w:b w:val="0"/>
                <w:i w:val="0"/>
                <w:sz w:val="18"/>
              </w:rPr>
              <w:t>Giấy tờ chứng minh quan hệ nếu cần</w:t>
            </w:r>
          </w:p>
        </w:tc>
      </w:tr>
      <w:tr>
        <w:tc>
          <w:tcPr>
            <w:tcW w:type="dxa" w:w="3305"/>
            <w:vAlign w:val="center"/>
          </w:tcPr>
          <w:p>
            <w:pPr>
              <w:spacing w:after="0" w:line="240" w:lineRule="auto"/>
            </w:pPr>
            <w:r/>
            <w:r>
              <w:rPr>
                <w:rFonts w:ascii="Times New Roman" w:hAnsi="Times New Roman" w:eastAsia="Times New Roman"/>
                <w:b w:val="0"/>
                <w:i w:val="0"/>
                <w:sz w:val="18"/>
              </w:rPr>
              <w:t>Thăm ốm nội trú</w:t>
            </w:r>
          </w:p>
        </w:tc>
        <w:tc>
          <w:tcPr>
            <w:tcW w:type="dxa" w:w="3305"/>
            <w:vAlign w:val="center"/>
          </w:tcPr>
          <w:p>
            <w:pPr>
              <w:spacing w:after="0" w:line="240" w:lineRule="auto"/>
            </w:pPr>
            <w:r/>
            <w:r>
              <w:rPr>
                <w:rFonts w:ascii="Times New Roman" w:hAnsi="Times New Roman" w:eastAsia="Times New Roman"/>
                <w:b w:val="0"/>
                <w:i w:val="0"/>
                <w:sz w:val="18"/>
              </w:rPr>
              <w:t>1.000.000 đồng</w:t>
            </w:r>
          </w:p>
        </w:tc>
        <w:tc>
          <w:tcPr>
            <w:tcW w:type="dxa" w:w="3305"/>
            <w:vAlign w:val="center"/>
          </w:tcPr>
          <w:p>
            <w:pPr>
              <w:spacing w:after="0" w:line="240" w:lineRule="auto"/>
            </w:pPr>
            <w:r/>
            <w:r>
              <w:rPr>
                <w:rFonts w:ascii="Times New Roman" w:hAnsi="Times New Roman" w:eastAsia="Times New Roman"/>
                <w:b w:val="0"/>
                <w:i w:val="0"/>
                <w:sz w:val="18"/>
              </w:rPr>
              <w:t>Giấy ra viện/xác nhận nội trú</w:t>
            </w:r>
          </w:p>
        </w:tc>
      </w:tr>
    </w:tbl>
    <w:p>
      <w:pPr>
        <w:spacing w:after="40" w:before="0" w:line="269" w:lineRule="auto"/>
      </w:pPr>
    </w:p>
    <w:p>
      <w:pPr>
        <w:spacing w:after="100" w:before="80" w:line="269" w:lineRule="auto"/>
      </w:pPr>
      <w:r>
        <w:rPr>
          <w:rFonts w:ascii="Times New Roman" w:hAnsi="Times New Roman" w:eastAsia="Times New Roman"/>
          <w:b/>
          <w:i w:val="0"/>
          <w:sz w:val="26"/>
        </w:rPr>
        <w:t>Điều 9. Company Trip và Team Building</w:t>
      </w:r>
    </w:p>
    <w:p>
      <w:pPr>
        <w:spacing w:after="80" w:before="0" w:line="269" w:lineRule="auto"/>
        <w:ind w:firstLine="283"/>
      </w:pPr>
      <w:r>
        <w:rPr>
          <w:rFonts w:ascii="Times New Roman" w:hAnsi="Times New Roman" w:eastAsia="Times New Roman"/>
          <w:b w:val="0"/>
          <w:i w:val="0"/>
          <w:sz w:val="24"/>
        </w:rPr>
        <w:t>1. Company Trip tổ chức tối đa 01 lần/năm khi có ngân sách được phê duyệt, mức tham chiếu 5.000.000 đồng/người/năm.</w:t>
      </w:r>
    </w:p>
    <w:p>
      <w:pPr>
        <w:spacing w:after="80" w:before="0" w:line="269" w:lineRule="auto"/>
        <w:ind w:firstLine="283"/>
      </w:pPr>
      <w:r>
        <w:rPr>
          <w:rFonts w:ascii="Times New Roman" w:hAnsi="Times New Roman" w:eastAsia="Times New Roman"/>
          <w:b w:val="0"/>
          <w:i w:val="0"/>
          <w:sz w:val="24"/>
        </w:rPr>
        <w:t>2. Team building cấp phòng/khối được hỗ trợ 300.000 đồng/người/tháng hoặc 900.000 đồng/người/quý nếu gộp theo quý, tùy ngân sách.</w:t>
      </w:r>
    </w:p>
    <w:p>
      <w:pPr>
        <w:spacing w:after="80" w:before="0" w:line="269" w:lineRule="auto"/>
        <w:ind w:firstLine="283"/>
      </w:pPr>
      <w:r>
        <w:rPr>
          <w:rFonts w:ascii="Times New Roman" w:hAnsi="Times New Roman" w:eastAsia="Times New Roman"/>
          <w:b w:val="0"/>
          <w:i w:val="0"/>
          <w:sz w:val="24"/>
        </w:rPr>
        <w:t>3. Kế hoạch sự kiện phải có mục tiêu, danh sách, dự toán, nhà cung cấp, phương án an toàn và phê duyệt trước tối thiểu 10 ngày làm việc.</w:t>
      </w:r>
    </w:p>
    <w:p>
      <w:pPr>
        <w:spacing w:after="80" w:before="0" w:line="269" w:lineRule="auto"/>
        <w:ind w:firstLine="283"/>
      </w:pPr>
      <w:r>
        <w:rPr>
          <w:rFonts w:ascii="Times New Roman" w:hAnsi="Times New Roman" w:eastAsia="Times New Roman"/>
          <w:b w:val="0"/>
          <w:i w:val="0"/>
          <w:sz w:val="24"/>
        </w:rPr>
        <w:t>4. Chi phí phát sinh ngoài ngân sách, đồ uống có cồn, hoạt động rủi ro cao hoặc quà tặng vượt định mức phải được phê duyệt riêng.</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Phòng Nhân sự, Tài chính và Công đoàn cơ sở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Khai sai hồ sơ phúc lợi</w:t>
            </w:r>
          </w:p>
        </w:tc>
        <w:tc>
          <w:tcPr>
            <w:tcW w:type="dxa" w:w="3305"/>
            <w:vAlign w:val="center"/>
          </w:tcPr>
          <w:p>
            <w:pPr>
              <w:spacing w:after="0" w:line="240" w:lineRule="auto"/>
            </w:pPr>
            <w:r/>
            <w:r>
              <w:rPr>
                <w:rFonts w:ascii="Times New Roman" w:hAnsi="Times New Roman" w:eastAsia="Times New Roman"/>
                <w:b w:val="0"/>
                <w:i w:val="0"/>
                <w:sz w:val="18"/>
              </w:rPr>
              <w:t>Thu hồi khoản đã chi và xem xét trách nhiệm</w:t>
            </w:r>
          </w:p>
        </w:tc>
        <w:tc>
          <w:tcPr>
            <w:tcW w:type="dxa" w:w="3305"/>
            <w:vAlign w:val="center"/>
          </w:tcPr>
          <w:p>
            <w:pPr>
              <w:spacing w:after="0" w:line="240" w:lineRule="auto"/>
            </w:pPr>
            <w:r/>
            <w:r>
              <w:rPr>
                <w:rFonts w:ascii="Times New Roman" w:hAnsi="Times New Roman" w:eastAsia="Times New Roman"/>
                <w:b w:val="0"/>
                <w:i w:val="0"/>
                <w:sz w:val="18"/>
              </w:rPr>
              <w:t>05 ngày</w:t>
            </w:r>
          </w:p>
        </w:tc>
      </w:tr>
      <w:tr>
        <w:tc>
          <w:tcPr>
            <w:tcW w:type="dxa" w:w="3305"/>
            <w:vAlign w:val="center"/>
          </w:tcPr>
          <w:p>
            <w:pPr>
              <w:spacing w:after="0" w:line="240" w:lineRule="auto"/>
            </w:pPr>
            <w:r/>
            <w:r>
              <w:rPr>
                <w:rFonts w:ascii="Times New Roman" w:hAnsi="Times New Roman" w:eastAsia="Times New Roman"/>
                <w:b w:val="0"/>
                <w:i w:val="0"/>
                <w:sz w:val="18"/>
              </w:rPr>
              <w:t>Chi vượt ngân sách sự kiện không duyệt</w:t>
            </w:r>
          </w:p>
        </w:tc>
        <w:tc>
          <w:tcPr>
            <w:tcW w:type="dxa" w:w="3305"/>
            <w:vAlign w:val="center"/>
          </w:tcPr>
          <w:p>
            <w:pPr>
              <w:spacing w:after="0" w:line="240" w:lineRule="auto"/>
            </w:pPr>
            <w:r/>
            <w:r>
              <w:rPr>
                <w:rFonts w:ascii="Times New Roman" w:hAnsi="Times New Roman" w:eastAsia="Times New Roman"/>
                <w:b w:val="0"/>
                <w:i w:val="0"/>
                <w:sz w:val="18"/>
              </w:rPr>
              <w:t>Không thanh toán phần vượt hoặc cá nhân/đơn vị tự chịu</w:t>
            </w:r>
          </w:p>
        </w:tc>
        <w:tc>
          <w:tcPr>
            <w:tcW w:type="dxa" w:w="3305"/>
            <w:vAlign w:val="center"/>
          </w:tcPr>
          <w:p>
            <w:pPr>
              <w:spacing w:after="0" w:line="240" w:lineRule="auto"/>
            </w:pPr>
            <w:r/>
            <w:r>
              <w:rPr>
                <w:rFonts w:ascii="Times New Roman" w:hAnsi="Times New Roman" w:eastAsia="Times New Roman"/>
                <w:b w:val="0"/>
                <w:i w:val="0"/>
                <w:sz w:val="18"/>
              </w:rPr>
              <w:t>Khi quyết toán</w:t>
            </w:r>
          </w:p>
        </w:tc>
      </w:tr>
      <w:tr>
        <w:tc>
          <w:tcPr>
            <w:tcW w:type="dxa" w:w="3305"/>
            <w:vAlign w:val="center"/>
          </w:tcPr>
          <w:p>
            <w:pPr>
              <w:spacing w:after="0" w:line="240" w:lineRule="auto"/>
            </w:pPr>
            <w:r/>
            <w:r>
              <w:rPr>
                <w:rFonts w:ascii="Times New Roman" w:hAnsi="Times New Roman" w:eastAsia="Times New Roman"/>
                <w:b w:val="0"/>
                <w:i w:val="0"/>
                <w:sz w:val="18"/>
              </w:rPr>
              <w:t>Nộp chứng từ team building trễ trên 10 ngày</w:t>
            </w:r>
          </w:p>
        </w:tc>
        <w:tc>
          <w:tcPr>
            <w:tcW w:type="dxa" w:w="3305"/>
            <w:vAlign w:val="center"/>
          </w:tcPr>
          <w:p>
            <w:pPr>
              <w:spacing w:after="0" w:line="240" w:lineRule="auto"/>
            </w:pPr>
            <w:r/>
            <w:r>
              <w:rPr>
                <w:rFonts w:ascii="Times New Roman" w:hAnsi="Times New Roman" w:eastAsia="Times New Roman"/>
                <w:b w:val="0"/>
                <w:i w:val="0"/>
                <w:sz w:val="18"/>
              </w:rPr>
              <w:t>Chuyển kỳ thanh toán sau hoặc không thanh toán nếu quá 30 ngày</w:t>
            </w:r>
          </w:p>
        </w:tc>
        <w:tc>
          <w:tcPr>
            <w:tcW w:type="dxa" w:w="3305"/>
            <w:vAlign w:val="center"/>
          </w:tcPr>
          <w:p>
            <w:pPr>
              <w:spacing w:after="0" w:line="240" w:lineRule="auto"/>
            </w:pPr>
            <w:r/>
            <w:r>
              <w:rPr>
                <w:rFonts w:ascii="Times New Roman" w:hAnsi="Times New Roman" w:eastAsia="Times New Roman"/>
                <w:b w:val="0"/>
                <w:i w:val="0"/>
                <w:sz w:val="18"/>
              </w:rPr>
              <w:t>10-30 ngày</w:t>
            </w:r>
          </w:p>
        </w:tc>
      </w:tr>
      <w:tr>
        <w:tc>
          <w:tcPr>
            <w:tcW w:type="dxa" w:w="3305"/>
            <w:vAlign w:val="center"/>
          </w:tcPr>
          <w:p>
            <w:pPr>
              <w:spacing w:after="0" w:line="240" w:lineRule="auto"/>
            </w:pPr>
            <w:r/>
            <w:r>
              <w:rPr>
                <w:rFonts w:ascii="Times New Roman" w:hAnsi="Times New Roman" w:eastAsia="Times New Roman"/>
                <w:b w:val="0"/>
                <w:i w:val="0"/>
                <w:sz w:val="18"/>
              </w:rPr>
              <w:t>Vi phạm an toàn trong sự kiện</w:t>
            </w:r>
          </w:p>
        </w:tc>
        <w:tc>
          <w:tcPr>
            <w:tcW w:type="dxa" w:w="3305"/>
            <w:vAlign w:val="center"/>
          </w:tcPr>
          <w:p>
            <w:pPr>
              <w:spacing w:after="0" w:line="240" w:lineRule="auto"/>
            </w:pPr>
            <w:r/>
            <w:r>
              <w:rPr>
                <w:rFonts w:ascii="Times New Roman" w:hAnsi="Times New Roman" w:eastAsia="Times New Roman"/>
                <w:b w:val="0"/>
                <w:i w:val="0"/>
                <w:sz w:val="18"/>
              </w:rPr>
              <w:t>Dừng hoạt động, lập biên bản và xem xét trách nhiệm</w:t>
            </w:r>
          </w:p>
        </w:tc>
        <w:tc>
          <w:tcPr>
            <w:tcW w:type="dxa" w:w="3305"/>
            <w:vAlign w:val="center"/>
          </w:tcPr>
          <w:p>
            <w:pPr>
              <w:spacing w:after="0" w:line="240" w:lineRule="auto"/>
            </w:pPr>
            <w:r/>
            <w:r>
              <w:rPr>
                <w:rFonts w:ascii="Times New Roman" w:hAnsi="Times New Roman" w:eastAsia="Times New Roman"/>
                <w:b w:val="0"/>
                <w:i w:val="0"/>
                <w:sz w:val="18"/>
              </w:rPr>
              <w:t>Ngay</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BEN-01</w:t>
            </w:r>
          </w:p>
        </w:tc>
        <w:tc>
          <w:tcPr>
            <w:tcW w:type="dxa" w:w="3305"/>
            <w:vAlign w:val="center"/>
          </w:tcPr>
          <w:p>
            <w:pPr>
              <w:spacing w:after="0" w:line="240" w:lineRule="auto"/>
            </w:pPr>
            <w:r/>
            <w:r>
              <w:rPr>
                <w:rFonts w:ascii="Times New Roman" w:hAnsi="Times New Roman" w:eastAsia="Times New Roman"/>
                <w:b w:val="0"/>
                <w:i w:val="0"/>
                <w:sz w:val="18"/>
              </w:rPr>
              <w:t>Phiếu đề nghị phúc lợi hiếu hỷ/thăm ốm</w:t>
            </w:r>
          </w:p>
        </w:tc>
        <w:tc>
          <w:tcPr>
            <w:tcW w:type="dxa" w:w="3305"/>
            <w:vAlign w:val="center"/>
          </w:tcPr>
          <w:p>
            <w:pPr>
              <w:spacing w:after="0" w:line="240" w:lineRule="auto"/>
            </w:pPr>
            <w:r/>
            <w:r>
              <w:rPr>
                <w:rFonts w:ascii="Times New Roman" w:hAnsi="Times New Roman" w:eastAsia="Times New Roman"/>
                <w:b w:val="0"/>
                <w:i w:val="0"/>
                <w:sz w:val="18"/>
              </w:rPr>
              <w:t>Khi phát sinh sự kiện</w:t>
            </w:r>
          </w:p>
        </w:tc>
      </w:tr>
      <w:tr>
        <w:tc>
          <w:tcPr>
            <w:tcW w:type="dxa" w:w="3305"/>
            <w:vAlign w:val="center"/>
          </w:tcPr>
          <w:p>
            <w:pPr>
              <w:spacing w:after="0" w:line="240" w:lineRule="auto"/>
            </w:pPr>
            <w:r/>
            <w:r>
              <w:rPr>
                <w:rFonts w:ascii="Times New Roman" w:hAnsi="Times New Roman" w:eastAsia="Times New Roman"/>
                <w:b w:val="0"/>
                <w:i w:val="0"/>
                <w:sz w:val="18"/>
              </w:rPr>
              <w:t>BEN-02</w:t>
            </w:r>
          </w:p>
        </w:tc>
        <w:tc>
          <w:tcPr>
            <w:tcW w:type="dxa" w:w="3305"/>
            <w:vAlign w:val="center"/>
          </w:tcPr>
          <w:p>
            <w:pPr>
              <w:spacing w:after="0" w:line="240" w:lineRule="auto"/>
            </w:pPr>
            <w:r/>
            <w:r>
              <w:rPr>
                <w:rFonts w:ascii="Times New Roman" w:hAnsi="Times New Roman" w:eastAsia="Times New Roman"/>
                <w:b w:val="0"/>
                <w:i w:val="0"/>
                <w:sz w:val="18"/>
              </w:rPr>
              <w:t>Danh sách thưởng KPI/dự án</w:t>
            </w:r>
          </w:p>
        </w:tc>
        <w:tc>
          <w:tcPr>
            <w:tcW w:type="dxa" w:w="3305"/>
            <w:vAlign w:val="center"/>
          </w:tcPr>
          <w:p>
            <w:pPr>
              <w:spacing w:after="0" w:line="240" w:lineRule="auto"/>
            </w:pPr>
            <w:r/>
            <w:r>
              <w:rPr>
                <w:rFonts w:ascii="Times New Roman" w:hAnsi="Times New Roman" w:eastAsia="Times New Roman"/>
                <w:b w:val="0"/>
                <w:i w:val="0"/>
                <w:sz w:val="18"/>
              </w:rPr>
              <w:t>Khi xét thưởng</w:t>
            </w:r>
          </w:p>
        </w:tc>
      </w:tr>
      <w:tr>
        <w:tc>
          <w:tcPr>
            <w:tcW w:type="dxa" w:w="3305"/>
            <w:vAlign w:val="center"/>
          </w:tcPr>
          <w:p>
            <w:pPr>
              <w:spacing w:after="0" w:line="240" w:lineRule="auto"/>
            </w:pPr>
            <w:r/>
            <w:r>
              <w:rPr>
                <w:rFonts w:ascii="Times New Roman" w:hAnsi="Times New Roman" w:eastAsia="Times New Roman"/>
                <w:b w:val="0"/>
                <w:i w:val="0"/>
                <w:sz w:val="18"/>
              </w:rPr>
              <w:t>BEN-03</w:t>
            </w:r>
          </w:p>
        </w:tc>
        <w:tc>
          <w:tcPr>
            <w:tcW w:type="dxa" w:w="3305"/>
            <w:vAlign w:val="center"/>
          </w:tcPr>
          <w:p>
            <w:pPr>
              <w:spacing w:after="0" w:line="240" w:lineRule="auto"/>
            </w:pPr>
            <w:r/>
            <w:r>
              <w:rPr>
                <w:rFonts w:ascii="Times New Roman" w:hAnsi="Times New Roman" w:eastAsia="Times New Roman"/>
                <w:b w:val="0"/>
                <w:i w:val="0"/>
                <w:sz w:val="18"/>
              </w:rPr>
              <w:t>Kế hoạch Company Trip/Team Building</w:t>
            </w:r>
          </w:p>
        </w:tc>
        <w:tc>
          <w:tcPr>
            <w:tcW w:type="dxa" w:w="3305"/>
            <w:vAlign w:val="center"/>
          </w:tcPr>
          <w:p>
            <w:pPr>
              <w:spacing w:after="0" w:line="240" w:lineRule="auto"/>
            </w:pPr>
            <w:r/>
            <w:r>
              <w:rPr>
                <w:rFonts w:ascii="Times New Roman" w:hAnsi="Times New Roman" w:eastAsia="Times New Roman"/>
                <w:b w:val="0"/>
                <w:i w:val="0"/>
                <w:sz w:val="18"/>
              </w:rPr>
              <w:t>Trước sự kiện 10 ngày làm việc</w:t>
            </w:r>
          </w:p>
        </w:tc>
      </w:tr>
      <w:tr>
        <w:tc>
          <w:tcPr>
            <w:tcW w:type="dxa" w:w="3305"/>
            <w:vAlign w:val="center"/>
          </w:tcPr>
          <w:p>
            <w:pPr>
              <w:spacing w:after="0" w:line="240" w:lineRule="auto"/>
            </w:pPr>
            <w:r/>
            <w:r>
              <w:rPr>
                <w:rFonts w:ascii="Times New Roman" w:hAnsi="Times New Roman" w:eastAsia="Times New Roman"/>
                <w:b w:val="0"/>
                <w:i w:val="0"/>
                <w:sz w:val="18"/>
              </w:rPr>
              <w:t>BEN-04</w:t>
            </w:r>
          </w:p>
        </w:tc>
        <w:tc>
          <w:tcPr>
            <w:tcW w:type="dxa" w:w="3305"/>
            <w:vAlign w:val="center"/>
          </w:tcPr>
          <w:p>
            <w:pPr>
              <w:spacing w:after="0" w:line="240" w:lineRule="auto"/>
            </w:pPr>
            <w:r/>
            <w:r>
              <w:rPr>
                <w:rFonts w:ascii="Times New Roman" w:hAnsi="Times New Roman" w:eastAsia="Times New Roman"/>
                <w:b w:val="0"/>
                <w:i w:val="0"/>
                <w:sz w:val="18"/>
              </w:rPr>
              <w:t>Bảng quyết toán sự kiện</w:t>
            </w:r>
          </w:p>
        </w:tc>
        <w:tc>
          <w:tcPr>
            <w:tcW w:type="dxa" w:w="3305"/>
            <w:vAlign w:val="center"/>
          </w:tcPr>
          <w:p>
            <w:pPr>
              <w:spacing w:after="0" w:line="240" w:lineRule="auto"/>
            </w:pPr>
            <w:r/>
            <w:r>
              <w:rPr>
                <w:rFonts w:ascii="Times New Roman" w:hAnsi="Times New Roman" w:eastAsia="Times New Roman"/>
                <w:b w:val="0"/>
                <w:i w:val="0"/>
                <w:sz w:val="18"/>
              </w:rPr>
              <w:t>Trong vòng 07 ngày sau sự kiện</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khen thưởng, phúc lợi, hiếu hỷ, company trip và team building. Các thời hạn dưới đây là căn cứ để người lao động, quản lý trực tiếp và Phòng Nhân sự, Tài chính và Công đoàn cơ sở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Phòng Nhân sự, Tài chính và Công đoàn cơ sở</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Phòng Nhân sự, Tài chính và Công đoàn cơ sở kiểm tra nhanh việc tuân thủ trong phạm vi khen thưởng, phúc lợi, hiếu hỷ, company trip và team building.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BEN-01</w:t>
            </w:r>
          </w:p>
        </w:tc>
        <w:tc>
          <w:tcPr>
            <w:tcW w:type="dxa" w:w="3305"/>
            <w:vAlign w:val="center"/>
          </w:tcPr>
          <w:p>
            <w:pPr>
              <w:spacing w:after="0" w:line="240" w:lineRule="auto"/>
            </w:pPr>
            <w:r/>
            <w:r>
              <w:rPr>
                <w:rFonts w:ascii="Times New Roman" w:hAnsi="Times New Roman" w:eastAsia="Times New Roman"/>
                <w:b w:val="0"/>
                <w:i w:val="0"/>
                <w:sz w:val="17"/>
              </w:rPr>
              <w:t>Phiếu đề nghị phúc lợi hiếu hỷ/thăm ốm</w:t>
            </w:r>
          </w:p>
        </w:tc>
        <w:tc>
          <w:tcPr>
            <w:tcW w:type="dxa" w:w="3305"/>
            <w:vAlign w:val="center"/>
          </w:tcPr>
          <w:p>
            <w:pPr>
              <w:spacing w:after="0" w:line="240" w:lineRule="auto"/>
            </w:pPr>
            <w:r/>
            <w:r>
              <w:rPr>
                <w:rFonts w:ascii="Times New Roman" w:hAnsi="Times New Roman" w:eastAsia="Times New Roman"/>
                <w:b w:val="0"/>
                <w:i w:val="0"/>
                <w:sz w:val="17"/>
              </w:rPr>
              <w:t>Khi phát sinh sự kiện</w:t>
            </w:r>
          </w:p>
        </w:tc>
      </w:tr>
      <w:tr>
        <w:tc>
          <w:tcPr>
            <w:tcW w:type="dxa" w:w="3305"/>
            <w:vAlign w:val="center"/>
          </w:tcPr>
          <w:p>
            <w:pPr>
              <w:spacing w:after="0" w:line="240" w:lineRule="auto"/>
            </w:pPr>
            <w:r/>
            <w:r>
              <w:rPr>
                <w:rFonts w:ascii="Times New Roman" w:hAnsi="Times New Roman" w:eastAsia="Times New Roman"/>
                <w:b w:val="0"/>
                <w:i w:val="0"/>
                <w:sz w:val="17"/>
              </w:rPr>
              <w:t>BEN-02</w:t>
            </w:r>
          </w:p>
        </w:tc>
        <w:tc>
          <w:tcPr>
            <w:tcW w:type="dxa" w:w="3305"/>
            <w:vAlign w:val="center"/>
          </w:tcPr>
          <w:p>
            <w:pPr>
              <w:spacing w:after="0" w:line="240" w:lineRule="auto"/>
            </w:pPr>
            <w:r/>
            <w:r>
              <w:rPr>
                <w:rFonts w:ascii="Times New Roman" w:hAnsi="Times New Roman" w:eastAsia="Times New Roman"/>
                <w:b w:val="0"/>
                <w:i w:val="0"/>
                <w:sz w:val="17"/>
              </w:rPr>
              <w:t>Danh sách thưởng KPI/dự án</w:t>
            </w:r>
          </w:p>
        </w:tc>
        <w:tc>
          <w:tcPr>
            <w:tcW w:type="dxa" w:w="3305"/>
            <w:vAlign w:val="center"/>
          </w:tcPr>
          <w:p>
            <w:pPr>
              <w:spacing w:after="0" w:line="240" w:lineRule="auto"/>
            </w:pPr>
            <w:r/>
            <w:r>
              <w:rPr>
                <w:rFonts w:ascii="Times New Roman" w:hAnsi="Times New Roman" w:eastAsia="Times New Roman"/>
                <w:b w:val="0"/>
                <w:i w:val="0"/>
                <w:sz w:val="17"/>
              </w:rPr>
              <w:t>Khi xét thưởng</w:t>
            </w:r>
          </w:p>
        </w:tc>
      </w:tr>
      <w:tr>
        <w:tc>
          <w:tcPr>
            <w:tcW w:type="dxa" w:w="3305"/>
            <w:vAlign w:val="center"/>
          </w:tcPr>
          <w:p>
            <w:pPr>
              <w:spacing w:after="0" w:line="240" w:lineRule="auto"/>
            </w:pPr>
            <w:r/>
            <w:r>
              <w:rPr>
                <w:rFonts w:ascii="Times New Roman" w:hAnsi="Times New Roman" w:eastAsia="Times New Roman"/>
                <w:b w:val="0"/>
                <w:i w:val="0"/>
                <w:sz w:val="17"/>
              </w:rPr>
              <w:t>BEN-03</w:t>
            </w:r>
          </w:p>
        </w:tc>
        <w:tc>
          <w:tcPr>
            <w:tcW w:type="dxa" w:w="3305"/>
            <w:vAlign w:val="center"/>
          </w:tcPr>
          <w:p>
            <w:pPr>
              <w:spacing w:after="0" w:line="240" w:lineRule="auto"/>
            </w:pPr>
            <w:r/>
            <w:r>
              <w:rPr>
                <w:rFonts w:ascii="Times New Roman" w:hAnsi="Times New Roman" w:eastAsia="Times New Roman"/>
                <w:b w:val="0"/>
                <w:i w:val="0"/>
                <w:sz w:val="17"/>
              </w:rPr>
              <w:t>Kế hoạch Company Trip/Team Building</w:t>
            </w:r>
          </w:p>
        </w:tc>
        <w:tc>
          <w:tcPr>
            <w:tcW w:type="dxa" w:w="3305"/>
            <w:vAlign w:val="center"/>
          </w:tcPr>
          <w:p>
            <w:pPr>
              <w:spacing w:after="0" w:line="240" w:lineRule="auto"/>
            </w:pPr>
            <w:r/>
            <w:r>
              <w:rPr>
                <w:rFonts w:ascii="Times New Roman" w:hAnsi="Times New Roman" w:eastAsia="Times New Roman"/>
                <w:b w:val="0"/>
                <w:i w:val="0"/>
                <w:sz w:val="17"/>
              </w:rPr>
              <w:t>Trước sự kiện 10 ngày làm việc</w:t>
            </w:r>
          </w:p>
        </w:tc>
      </w:tr>
      <w:tr>
        <w:tc>
          <w:tcPr>
            <w:tcW w:type="dxa" w:w="3305"/>
            <w:vAlign w:val="center"/>
          </w:tcPr>
          <w:p>
            <w:pPr>
              <w:spacing w:after="0" w:line="240" w:lineRule="auto"/>
            </w:pPr>
            <w:r/>
            <w:r>
              <w:rPr>
                <w:rFonts w:ascii="Times New Roman" w:hAnsi="Times New Roman" w:eastAsia="Times New Roman"/>
                <w:b w:val="0"/>
                <w:i w:val="0"/>
                <w:sz w:val="17"/>
              </w:rPr>
              <w:t>BEN-04</w:t>
            </w:r>
          </w:p>
        </w:tc>
        <w:tc>
          <w:tcPr>
            <w:tcW w:type="dxa" w:w="3305"/>
            <w:vAlign w:val="center"/>
          </w:tcPr>
          <w:p>
            <w:pPr>
              <w:spacing w:after="0" w:line="240" w:lineRule="auto"/>
            </w:pPr>
            <w:r/>
            <w:r>
              <w:rPr>
                <w:rFonts w:ascii="Times New Roman" w:hAnsi="Times New Roman" w:eastAsia="Times New Roman"/>
                <w:b w:val="0"/>
                <w:i w:val="0"/>
                <w:sz w:val="17"/>
              </w:rPr>
              <w:t>Bảng quyết toán sự kiện</w:t>
            </w:r>
          </w:p>
        </w:tc>
        <w:tc>
          <w:tcPr>
            <w:tcW w:type="dxa" w:w="3305"/>
            <w:vAlign w:val="center"/>
          </w:tcPr>
          <w:p>
            <w:pPr>
              <w:spacing w:after="0" w:line="240" w:lineRule="auto"/>
            </w:pPr>
            <w:r/>
            <w:r>
              <w:rPr>
                <w:rFonts w:ascii="Times New Roman" w:hAnsi="Times New Roman" w:eastAsia="Times New Roman"/>
                <w:b w:val="0"/>
                <w:i w:val="0"/>
                <w:sz w:val="17"/>
              </w:rPr>
              <w:t>Trong vòng 07 ngày sau sự kiện</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Khai sai hồ sơ phúc lợi</w:t>
            </w:r>
          </w:p>
        </w:tc>
        <w:tc>
          <w:tcPr>
            <w:tcW w:type="dxa" w:w="3305"/>
            <w:vAlign w:val="center"/>
          </w:tcPr>
          <w:p>
            <w:pPr>
              <w:spacing w:after="0" w:line="240" w:lineRule="auto"/>
            </w:pPr>
            <w:r/>
            <w:r>
              <w:rPr>
                <w:rFonts w:ascii="Times New Roman" w:hAnsi="Times New Roman" w:eastAsia="Times New Roman"/>
                <w:b w:val="0"/>
                <w:i w:val="0"/>
                <w:sz w:val="17"/>
              </w:rPr>
              <w:t>Thu hồi khoản đã chi và xem xét trách nhiệm</w:t>
            </w:r>
          </w:p>
        </w:tc>
        <w:tc>
          <w:tcPr>
            <w:tcW w:type="dxa" w:w="3305"/>
            <w:vAlign w:val="center"/>
          </w:tcPr>
          <w:p>
            <w:pPr>
              <w:spacing w:after="0" w:line="240" w:lineRule="auto"/>
            </w:pPr>
            <w:r/>
            <w:r>
              <w:rPr>
                <w:rFonts w:ascii="Times New Roman" w:hAnsi="Times New Roman" w:eastAsia="Times New Roman"/>
                <w:b w:val="0"/>
                <w:i w:val="0"/>
                <w:sz w:val="17"/>
              </w:rPr>
              <w:t>05 ngày</w:t>
            </w:r>
          </w:p>
        </w:tc>
      </w:tr>
      <w:tr>
        <w:tc>
          <w:tcPr>
            <w:tcW w:type="dxa" w:w="3305"/>
            <w:vAlign w:val="center"/>
          </w:tcPr>
          <w:p>
            <w:pPr>
              <w:spacing w:after="0" w:line="240" w:lineRule="auto"/>
            </w:pPr>
            <w:r/>
            <w:r>
              <w:rPr>
                <w:rFonts w:ascii="Times New Roman" w:hAnsi="Times New Roman" w:eastAsia="Times New Roman"/>
                <w:b w:val="0"/>
                <w:i w:val="0"/>
                <w:sz w:val="17"/>
              </w:rPr>
              <w:t>Chi vượt ngân sách sự kiện không duyệt</w:t>
            </w:r>
          </w:p>
        </w:tc>
        <w:tc>
          <w:tcPr>
            <w:tcW w:type="dxa" w:w="3305"/>
            <w:vAlign w:val="center"/>
          </w:tcPr>
          <w:p>
            <w:pPr>
              <w:spacing w:after="0" w:line="240" w:lineRule="auto"/>
            </w:pPr>
            <w:r/>
            <w:r>
              <w:rPr>
                <w:rFonts w:ascii="Times New Roman" w:hAnsi="Times New Roman" w:eastAsia="Times New Roman"/>
                <w:b w:val="0"/>
                <w:i w:val="0"/>
                <w:sz w:val="17"/>
              </w:rPr>
              <w:t>Không thanh toán phần vượt hoặc cá nhân/đơn vị tự chịu</w:t>
            </w:r>
          </w:p>
        </w:tc>
        <w:tc>
          <w:tcPr>
            <w:tcW w:type="dxa" w:w="3305"/>
            <w:vAlign w:val="center"/>
          </w:tcPr>
          <w:p>
            <w:pPr>
              <w:spacing w:after="0" w:line="240" w:lineRule="auto"/>
            </w:pPr>
            <w:r/>
            <w:r>
              <w:rPr>
                <w:rFonts w:ascii="Times New Roman" w:hAnsi="Times New Roman" w:eastAsia="Times New Roman"/>
                <w:b w:val="0"/>
                <w:i w:val="0"/>
                <w:sz w:val="17"/>
              </w:rPr>
              <w:t>Khi quyết toán</w:t>
            </w:r>
          </w:p>
        </w:tc>
      </w:tr>
      <w:tr>
        <w:tc>
          <w:tcPr>
            <w:tcW w:type="dxa" w:w="3305"/>
            <w:vAlign w:val="center"/>
          </w:tcPr>
          <w:p>
            <w:pPr>
              <w:spacing w:after="0" w:line="240" w:lineRule="auto"/>
            </w:pPr>
            <w:r/>
            <w:r>
              <w:rPr>
                <w:rFonts w:ascii="Times New Roman" w:hAnsi="Times New Roman" w:eastAsia="Times New Roman"/>
                <w:b w:val="0"/>
                <w:i w:val="0"/>
                <w:sz w:val="17"/>
              </w:rPr>
              <w:t>Nộp chứng từ team building trễ trên 10 ngày</w:t>
            </w:r>
          </w:p>
        </w:tc>
        <w:tc>
          <w:tcPr>
            <w:tcW w:type="dxa" w:w="3305"/>
            <w:vAlign w:val="center"/>
          </w:tcPr>
          <w:p>
            <w:pPr>
              <w:spacing w:after="0" w:line="240" w:lineRule="auto"/>
            </w:pPr>
            <w:r/>
            <w:r>
              <w:rPr>
                <w:rFonts w:ascii="Times New Roman" w:hAnsi="Times New Roman" w:eastAsia="Times New Roman"/>
                <w:b w:val="0"/>
                <w:i w:val="0"/>
                <w:sz w:val="17"/>
              </w:rPr>
              <w:t>Chuyển kỳ thanh toán sau hoặc không thanh toán nếu quá 30 ngày</w:t>
            </w:r>
          </w:p>
        </w:tc>
        <w:tc>
          <w:tcPr>
            <w:tcW w:type="dxa" w:w="3305"/>
            <w:vAlign w:val="center"/>
          </w:tcPr>
          <w:p>
            <w:pPr>
              <w:spacing w:after="0" w:line="240" w:lineRule="auto"/>
            </w:pPr>
            <w:r/>
            <w:r>
              <w:rPr>
                <w:rFonts w:ascii="Times New Roman" w:hAnsi="Times New Roman" w:eastAsia="Times New Roman"/>
                <w:b w:val="0"/>
                <w:i w:val="0"/>
                <w:sz w:val="17"/>
              </w:rPr>
              <w:t>10-30 ngày</w:t>
            </w:r>
          </w:p>
        </w:tc>
      </w:tr>
      <w:tr>
        <w:tc>
          <w:tcPr>
            <w:tcW w:type="dxa" w:w="3305"/>
            <w:vAlign w:val="center"/>
          </w:tcPr>
          <w:p>
            <w:pPr>
              <w:spacing w:after="0" w:line="240" w:lineRule="auto"/>
            </w:pPr>
            <w:r/>
            <w:r>
              <w:rPr>
                <w:rFonts w:ascii="Times New Roman" w:hAnsi="Times New Roman" w:eastAsia="Times New Roman"/>
                <w:b w:val="0"/>
                <w:i w:val="0"/>
                <w:sz w:val="17"/>
              </w:rPr>
              <w:t>Vi phạm an toàn trong sự kiện</w:t>
            </w:r>
          </w:p>
        </w:tc>
        <w:tc>
          <w:tcPr>
            <w:tcW w:type="dxa" w:w="3305"/>
            <w:vAlign w:val="center"/>
          </w:tcPr>
          <w:p>
            <w:pPr>
              <w:spacing w:after="0" w:line="240" w:lineRule="auto"/>
            </w:pPr>
            <w:r/>
            <w:r>
              <w:rPr>
                <w:rFonts w:ascii="Times New Roman" w:hAnsi="Times New Roman" w:eastAsia="Times New Roman"/>
                <w:b w:val="0"/>
                <w:i w:val="0"/>
                <w:sz w:val="17"/>
              </w:rPr>
              <w:t>Dừng hoạt động, lập biên bản và xem xét trách nhiệm</w:t>
            </w:r>
          </w:p>
        </w:tc>
        <w:tc>
          <w:tcPr>
            <w:tcW w:type="dxa" w:w="3305"/>
            <w:vAlign w:val="center"/>
          </w:tcPr>
          <w:p>
            <w:pPr>
              <w:spacing w:after="0" w:line="240" w:lineRule="auto"/>
            </w:pPr>
            <w:r/>
            <w:r>
              <w:rPr>
                <w:rFonts w:ascii="Times New Roman" w:hAnsi="Times New Roman" w:eastAsia="Times New Roman"/>
                <w:b w:val="0"/>
                <w:i w:val="0"/>
                <w:sz w:val="17"/>
              </w:rPr>
              <w:t>Ngay</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Phòng Nhân sự, Tài chính và Công đoàn cơ sở</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VSF-TCNS-03-V2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