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VSF/16_QD_PCCC_THOAT_HIE</w:t>
      </w:r>
    </w:p>
    <w:p/>
    <w:p>
      <w:pPr>
        <w:jc w:val="center"/>
      </w:pPr>
      <w:r>
        <w:rPr>
          <w:b/>
          <w:sz w:val="28"/>
        </w:rPr>
        <w:t>QUY ĐỊNH PHÒNG CHÁY CHỮA CHÁY VÀ SƠ ĐỒ THOÁT HIỂM TẦNG 2</w:t>
      </w:r>
    </w:p>
    <w:p/>
    <w:p>
      <w:pPr>
        <w:pStyle w:val="Heading1"/>
        <w:spacing w:before="280" w:after="120"/>
      </w:pPr>
      <w:r>
        <w:t>I. PHẠM VI VÀ ĐỐI TƯỢNG ÁP DỤNG</w:t>
      </w:r>
    </w:p>
    <w:p>
      <w:pPr>
        <w:spacing w:after="120"/>
      </w:pPr>
      <w:r>
        <w:t>Quy định này áp dụng cho toàn bộ nhân viên làm việc tại Công ty TNHH Công nghệ VSF, cụ thể là tại Tầng 2 của tòa nhà văn phòng. Thời gian áp dụng bắt đầu từ ngày 01/07/2026 cho đến khi có thông báo mới. Đối tượng áp dụng bao gồm tất cả các cá nhân có mặt tại Tầng 2, bao gồm nhân viên, khách hàng, đối tác và các bên liên quan khác. Đối tượng ngoại lệ bao gồm các nhân viên thuộc bộ phận bảo trì, bảo vệ, và những người làm nhiệm vụ đặc biệt được phân công trong các tình huống khẩn cấp. Việc tuân thủ các quy định này là bắt buộc nhằm đảm bảo an toàn cho mọi người và tài sản trong công ty.</w:t>
      </w:r>
    </w:p>
    <w:p>
      <w:pPr>
        <w:pStyle w:val="Heading1"/>
        <w:spacing w:before="280" w:after="120"/>
      </w:pPr>
      <w:r>
        <w:t>II. ĐỊNH NGHĨA VÀ GIẢI THÍCH THUẬT NGỮ</w:t>
      </w:r>
    </w:p>
    <w:p>
      <w:pPr>
        <w:pStyle w:val="ListNumber"/>
        <w:spacing w:after="60"/>
      </w:pPr>
      <w:r>
        <w:t>1. Phòng cháy chữa cháy (PCCC): Là tổng thể các biện pháp và phương tiện cần thiết nhằm ngăn chặn và xử lý sự cố cháy nổ, bảo vệ tài sản và tính mạng con người.</w:t>
      </w:r>
    </w:p>
    <w:p>
      <w:pPr>
        <w:pStyle w:val="ListNumber"/>
        <w:spacing w:after="60"/>
      </w:pPr>
      <w:r>
        <w:t>2. Bình cứu hỏa: Là thiết bị chứa chất chữa cháy, được sử dụng để dập tắt đám cháy trong các tình huống khẩn cấp. Bình cứu hỏa có nhiều loại, bao gồm bình chữa cháy bột, bình chữa cháy CO2, và bình chữa cháy nước.</w:t>
      </w:r>
    </w:p>
    <w:p>
      <w:pPr>
        <w:pStyle w:val="ListNumber"/>
        <w:spacing w:after="60"/>
      </w:pPr>
      <w:r>
        <w:t>3. Lối thoát hiểm: Là các hành lang, cầu thang hoặc cửa ra vào được thiết kế để di chuyển nhanh chóng ra ngoài tòa nhà trong trường hợp khẩn cấp, nhằm đảm bảo an toàn cho mọi người.</w:t>
      </w:r>
    </w:p>
    <w:p>
      <w:pPr>
        <w:pStyle w:val="ListNumber"/>
        <w:spacing w:after="60"/>
      </w:pPr>
      <w:r>
        <w:t>4. Muster point: Là địa điểm tập trung an toàn được xác định trước, nơi mọi người sẽ tập trung sau khi thoát khỏi tòa nhà để kiểm tra số lượng và tình trạng của nhân viên.</w:t>
      </w:r>
    </w:p>
    <w:p>
      <w:pPr>
        <w:pStyle w:val="ListNumber"/>
        <w:spacing w:after="60"/>
      </w:pPr>
      <w:r>
        <w:t>5. Đội PCCC cơ sở: Là nhóm nhân viên được đào tạo và phân công nhiệm vụ trong công tác phòng cháy chữa cháy tại công ty, có trách nhiệm ứng phó kịp thời trong các tình huống cháy nổ.</w:t>
      </w:r>
    </w:p>
    <w:p>
      <w:pPr>
        <w:pStyle w:val="ListNumber"/>
        <w:spacing w:after="60"/>
      </w:pPr>
      <w:r>
        <w:t>6. Diễn tập định kỳ: Là hoạt động thực hành thường xuyên nhằm kiểm tra và nâng cao kỹ năng ứng phó trong tình huống khẩn cấp, giúp nhân viên làm quen với quy trình thoát hiểm và sử dụng các thiết bị PCCC.</w:t>
      </w:r>
    </w:p>
    <w:p>
      <w:pPr>
        <w:pStyle w:val="Heading1"/>
        <w:spacing w:before="280" w:after="120"/>
      </w:pPr>
      <w:r>
        <w:t>III. NỘI DUNG QUY ĐỊNH / QUY TRÌNH CHI TIẾT</w:t>
      </w:r>
    </w:p>
    <w:p>
      <w:pPr>
        <w:pStyle w:val="Heading2"/>
        <w:spacing w:before="200" w:after="80"/>
      </w:pPr>
      <w:r>
        <w:t>3.1. Biện pháp phòng cháy</w:t>
      </w:r>
    </w:p>
    <w:p>
      <w:pPr>
        <w:pStyle w:val="ListBullet"/>
        <w:spacing w:after="60"/>
      </w:pPr>
      <w:r>
        <w:t>Tất cả nhân viên phải được đào tạo về kiến thức phòng cháy chữa cháy và quy trình thoát hiểm ít nhất một lần mỗi năm.</w:t>
      </w:r>
    </w:p>
    <w:p>
      <w:pPr>
        <w:pStyle w:val="ListBullet"/>
        <w:spacing w:after="60"/>
      </w:pPr>
      <w:r>
        <w:t>Không được sử dụng thiết bị điện không rõ nguồn gốc hoặc không đạt tiêu chuẩn an toàn trong khu vực làm việc.</w:t>
      </w:r>
    </w:p>
    <w:p>
      <w:pPr>
        <w:pStyle w:val="ListBullet"/>
        <w:spacing w:after="60"/>
      </w:pPr>
      <w:r>
        <w:t>Thực hiện kiểm tra định kỳ hệ thống điện, ống dẫn gas và các thiết bị có nguy cơ cháy nổ khác.</w:t>
      </w:r>
    </w:p>
    <w:p>
      <w:pPr>
        <w:pStyle w:val="Heading2"/>
        <w:spacing w:before="200" w:after="80"/>
      </w:pPr>
      <w:r>
        <w:t>3.2. Địa điểm và cách sử dụng bình cứu hỏa</w:t>
      </w:r>
    </w:p>
    <w:p>
      <w:pPr>
        <w:pStyle w:val="ListBullet"/>
        <w:spacing w:after="60"/>
      </w:pPr>
      <w:r>
        <w:t>Các bình cứu hỏa được đặt tại các vị trí dễ thấy, dễ tiếp cận, cụ thể như tại lối vào và các khu vực làm việc chính.</w:t>
      </w:r>
    </w:p>
    <w:p>
      <w:pPr>
        <w:pStyle w:val="ListBullet"/>
        <w:spacing w:after="60"/>
      </w:pPr>
      <w:r>
        <w:t>Nhân viên phải được hướng dẫn cách sử dụng bình cứu hỏa theo đúng quy trình và tiêu chuẩn an toàn.</w:t>
      </w:r>
    </w:p>
    <w:p>
      <w:pPr>
        <w:pStyle w:val="ListBullet"/>
        <w:spacing w:after="60"/>
      </w:pPr>
      <w:r>
        <w:t>Bình cứu hỏa phải được kiểm tra thường xuyên và bảo trì để đảm bảo luôn trong tình trạng hoạt động tốt.</w:t>
      </w:r>
    </w:p>
    <w:p>
      <w:pPr>
        <w:pStyle w:val="Heading2"/>
        <w:spacing w:before="200" w:after="80"/>
      </w:pPr>
      <w:r>
        <w:t>3.3. Lối thoát hiểm và sơ đồ thoát hiểm</w:t>
      </w:r>
    </w:p>
    <w:p>
      <w:pPr>
        <w:pStyle w:val="ListBullet"/>
        <w:spacing w:after="60"/>
      </w:pPr>
      <w:r>
        <w:t>Lối thoát hiểm tại Tầng 2 được đánh dấu rõ ràng, với biển chỉ dẫn đầy đủ để mọi người dễ dàng nhận biết.</w:t>
      </w:r>
    </w:p>
    <w:p>
      <w:pPr>
        <w:pStyle w:val="ListBullet"/>
        <w:spacing w:after="60"/>
      </w:pPr>
      <w:r>
        <w:t>Sơ đồ thoát hiểm phải được treo ở những vị trí dễ nhìn thấy, bao gồm các lối thoát hiểm, bình cứu hỏa và điểm tập trung.</w:t>
      </w:r>
    </w:p>
    <w:p>
      <w:pPr>
        <w:pStyle w:val="ListBullet"/>
        <w:spacing w:after="60"/>
      </w:pPr>
      <w:r>
        <w:t>Nhân viên phải được thông báo và tập dượt sử dụng lối thoát hiểm trong các tình huống khẩn cấp.</w:t>
      </w:r>
    </w:p>
    <w:p>
      <w:pPr>
        <w:pStyle w:val="Heading2"/>
        <w:spacing w:before="200" w:after="80"/>
      </w:pPr>
      <w:r>
        <w:t>3.4. Diễn tập PCCC</w:t>
      </w:r>
    </w:p>
    <w:p>
      <w:pPr>
        <w:pStyle w:val="ListBullet"/>
        <w:spacing w:after="60"/>
      </w:pPr>
      <w:r>
        <w:t>Diễn tập PCCC sẽ được tổ chức ít nhất 2 lần mỗi năm, đảm bảo mọi nhân viên đều tham gia.</w:t>
      </w:r>
    </w:p>
    <w:p>
      <w:pPr>
        <w:pStyle w:val="ListBullet"/>
        <w:spacing w:after="60"/>
      </w:pPr>
      <w:r>
        <w:t>Nội dung diễn tập sẽ bao gồm thực hành sử dụng bình cứu hỏa, lối thoát hiểm, và quy trình tập trung tại muster point.</w:t>
      </w:r>
    </w:p>
    <w:p>
      <w:pPr>
        <w:pStyle w:val="ListBullet"/>
        <w:spacing w:after="60"/>
      </w:pPr>
      <w:r>
        <w:t>Sau mỗi buổi diễn tập, sẽ có báo cáo đánh giá và đề xuất cải tiến quy trình PCCC.</w:t>
      </w:r>
    </w:p>
    <w:p>
      <w:pPr>
        <w:pStyle w:val="Heading2"/>
        <w:spacing w:before="200" w:after="80"/>
      </w:pPr>
      <w:r>
        <w:t>3.5. Đội PCCC cơ sở</w:t>
      </w:r>
    </w:p>
    <w:p>
      <w:pPr>
        <w:pStyle w:val="ListBullet"/>
        <w:spacing w:after="60"/>
      </w:pPr>
      <w:r>
        <w:t>Đội PCCC cơ sở gồm 5 thành viên, được lựa chọn từ các bộ phận khác nhau trong công ty, đảm bảo tính đa dạng và hiệu quả.</w:t>
      </w:r>
    </w:p>
    <w:p>
      <w:pPr>
        <w:pStyle w:val="ListBullet"/>
        <w:spacing w:after="60"/>
      </w:pPr>
      <w:r>
        <w:t>Đội PCCC có nhiệm vụ tổ chức các hoạt động liên quan đến PCCC, bao gồm đào tạo, diễn tập, và kiểm tra thiết bị PCCC.</w:t>
      </w:r>
    </w:p>
    <w:p>
      <w:pPr>
        <w:pStyle w:val="ListBullet"/>
        <w:spacing w:after="60"/>
      </w:pPr>
      <w:r>
        <w:t>Đội PCCC phải lập báo cáo định kỳ về tình hình PCCC và đề xuất các giải pháp cải thiện.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w:t>
            </w:r>
          </w:p>
        </w:tc>
        <w:tc>
          <w:tcPr>
            <w:tcW w:type="dxa" w:w="3135"/>
          </w:tcPr>
          <w:p>
            <w:r>
              <w:rPr>
                <w:b/>
              </w:rPr>
              <w:t>VỊ TRÍ</w:t>
            </w:r>
          </w:p>
        </w:tc>
        <w:tc>
          <w:tcPr>
            <w:tcW w:type="dxa" w:w="3135"/>
          </w:tcPr>
          <w:p>
            <w:r>
              <w:rPr>
                <w:b/>
              </w:rPr>
              <w:t>GHI CHÚ</w:t>
            </w:r>
          </w:p>
        </w:tc>
      </w:tr>
      <w:tr>
        <w:tc>
          <w:tcPr>
            <w:tcW w:type="dxa" w:w="3135"/>
          </w:tcPr>
          <w:p>
            <w:r>
              <w:t>Bình cứu hỏa</w:t>
            </w:r>
          </w:p>
        </w:tc>
        <w:tc>
          <w:tcPr>
            <w:tcW w:type="dxa" w:w="3135"/>
          </w:tcPr>
          <w:p>
            <w:r>
              <w:t>Khu vực làm việc</w:t>
            </w:r>
          </w:p>
        </w:tc>
        <w:tc>
          <w:tcPr>
            <w:tcW w:type="dxa" w:w="3135"/>
          </w:tcPr>
          <w:p>
            <w:r>
              <w:t>Kiểm tra hàng tháng</w:t>
            </w:r>
          </w:p>
        </w:tc>
      </w:tr>
      <w:tr>
        <w:tc>
          <w:tcPr>
            <w:tcW w:type="dxa" w:w="3135"/>
          </w:tcPr>
          <w:p>
            <w:r>
              <w:t>Lối thoát hiểm</w:t>
            </w:r>
          </w:p>
        </w:tc>
        <w:tc>
          <w:tcPr>
            <w:tcW w:type="dxa" w:w="3135"/>
          </w:tcPr>
          <w:p>
            <w:r>
              <w:t>Cửa chính, cầu thang</w:t>
            </w:r>
          </w:p>
        </w:tc>
        <w:tc>
          <w:tcPr>
            <w:tcW w:type="dxa" w:w="3135"/>
          </w:tcPr>
          <w:p>
            <w:r>
              <w:t>Đánh dấu rõ ràng</w:t>
            </w:r>
          </w:p>
        </w:tc>
      </w:tr>
      <w:tr>
        <w:tc>
          <w:tcPr>
            <w:tcW w:type="dxa" w:w="3135"/>
          </w:tcPr>
          <w:p>
            <w:r>
              <w:t>Muster point</w:t>
            </w:r>
          </w:p>
        </w:tc>
        <w:tc>
          <w:tcPr>
            <w:tcW w:type="dxa" w:w="3135"/>
          </w:tcPr>
          <w:p>
            <w:r>
              <w:t>Bãi đỗ xe phía trước</w:t>
            </w:r>
          </w:p>
        </w:tc>
        <w:tc>
          <w:tcPr>
            <w:tcW w:type="dxa" w:w="3135"/>
          </w:tcPr>
          <w:p>
            <w:r>
              <w:t>Tập trung nhân viên</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GHI CHÚ</w:t>
            </w:r>
          </w:p>
        </w:tc>
      </w:tr>
      <w:tr>
        <w:tc>
          <w:tcPr>
            <w:tcW w:type="dxa" w:w="3135"/>
          </w:tcPr>
          <w:p>
            <w:r>
              <w:t>Bộ phận nhân sự</w:t>
            </w:r>
          </w:p>
        </w:tc>
        <w:tc>
          <w:tcPr>
            <w:tcW w:type="dxa" w:w="3135"/>
          </w:tcPr>
          <w:p>
            <w:r>
              <w:t>Tổ chức đào tạo PCCC</w:t>
            </w:r>
          </w:p>
        </w:tc>
        <w:tc>
          <w:tcPr>
            <w:tcW w:type="dxa" w:w="3135"/>
          </w:tcPr>
          <w:p>
            <w:r>
              <w:t>Định kỳ hàng năm</w:t>
            </w:r>
          </w:p>
        </w:tc>
      </w:tr>
      <w:tr>
        <w:tc>
          <w:tcPr>
            <w:tcW w:type="dxa" w:w="3135"/>
          </w:tcPr>
          <w:p>
            <w:r>
              <w:t>Bộ phận kỹ thuật</w:t>
            </w:r>
          </w:p>
        </w:tc>
        <w:tc>
          <w:tcPr>
            <w:tcW w:type="dxa" w:w="3135"/>
          </w:tcPr>
          <w:p>
            <w:r>
              <w:t>Bảo trì thiết bị PCCC</w:t>
            </w:r>
          </w:p>
        </w:tc>
        <w:tc>
          <w:tcPr>
            <w:tcW w:type="dxa" w:w="3135"/>
          </w:tcPr>
          <w:p>
            <w:r>
              <w:t>Kiểm tra định kỳ</w:t>
            </w:r>
          </w:p>
        </w:tc>
      </w:tr>
      <w:tr>
        <w:tc>
          <w:tcPr>
            <w:tcW w:type="dxa" w:w="3135"/>
          </w:tcPr>
          <w:p>
            <w:r>
              <w:t>Bộ phận hành chính</w:t>
            </w:r>
          </w:p>
        </w:tc>
        <w:tc>
          <w:tcPr>
            <w:tcW w:type="dxa" w:w="3135"/>
          </w:tcPr>
          <w:p>
            <w:r>
              <w:t>Cập nhật sơ đồ thoát hiểm</w:t>
            </w:r>
          </w:p>
        </w:tc>
        <w:tc>
          <w:tcPr>
            <w:tcW w:type="dxa" w:w="3135"/>
          </w:tcPr>
          <w:p>
            <w:r>
              <w:t>Theo dõi và điều chỉnh</w:t>
            </w:r>
          </w:p>
        </w:tc>
      </w:tr>
      <w:tr>
        <w:tc>
          <w:tcPr>
            <w:tcW w:type="dxa" w:w="3135"/>
          </w:tcPr>
          <w:p>
            <w:r>
              <w:t>Đội PCCC cơ sở</w:t>
            </w:r>
          </w:p>
        </w:tc>
        <w:tc>
          <w:tcPr>
            <w:tcW w:type="dxa" w:w="3135"/>
          </w:tcPr>
          <w:p>
            <w:r>
              <w:t>Tổ chức diễn tập PCCC</w:t>
            </w:r>
          </w:p>
        </w:tc>
        <w:tc>
          <w:tcPr>
            <w:tcW w:type="dxa" w:w="3135"/>
          </w:tcPr>
          <w:p>
            <w:r>
              <w:t>Tối thiểu 2 lần/năm</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Không tham gia diễn tập PCCC</w:t>
            </w:r>
          </w:p>
        </w:tc>
        <w:tc>
          <w:tcPr>
            <w:tcW w:type="dxa" w:w="2351"/>
          </w:tcPr>
          <w:p>
            <w:r>
              <w:t>1 lần</w:t>
            </w:r>
          </w:p>
        </w:tc>
        <w:tc>
          <w:tcPr>
            <w:tcW w:type="dxa" w:w="2351"/>
          </w:tcPr>
          <w:p>
            <w:r>
              <w:t>Nhắc nhở</w:t>
            </w:r>
          </w:p>
        </w:tc>
        <w:tc>
          <w:tcPr>
            <w:tcW w:type="dxa" w:w="2351"/>
          </w:tcPr>
          <w:p>
            <w:r>
              <w:t>500.000</w:t>
            </w:r>
          </w:p>
        </w:tc>
      </w:tr>
      <w:tr>
        <w:tc>
          <w:tcPr>
            <w:tcW w:type="dxa" w:w="2351"/>
          </w:tcPr>
          <w:p>
            <w:r>
              <w:t>Không kiểm tra bình cứu hỏa</w:t>
            </w:r>
          </w:p>
        </w:tc>
        <w:tc>
          <w:tcPr>
            <w:tcW w:type="dxa" w:w="2351"/>
          </w:tcPr>
          <w:p>
            <w:r>
              <w:t>2 lần</w:t>
            </w:r>
          </w:p>
        </w:tc>
        <w:tc>
          <w:tcPr>
            <w:tcW w:type="dxa" w:w="2351"/>
          </w:tcPr>
          <w:p>
            <w:r>
              <w:t>Cảnh cáo</w:t>
            </w:r>
          </w:p>
        </w:tc>
        <w:tc>
          <w:tcPr>
            <w:tcW w:type="dxa" w:w="2351"/>
          </w:tcPr>
          <w:p>
            <w:r>
              <w:t>1.000.000</w:t>
            </w:r>
          </w:p>
        </w:tc>
      </w:tr>
      <w:tr>
        <w:tc>
          <w:tcPr>
            <w:tcW w:type="dxa" w:w="2351"/>
          </w:tcPr>
          <w:p>
            <w:r>
              <w:t>Sử dụng thiết bị điện không đạt tiêu chuẩn</w:t>
            </w:r>
          </w:p>
        </w:tc>
        <w:tc>
          <w:tcPr>
            <w:tcW w:type="dxa" w:w="2351"/>
          </w:tcPr>
          <w:p>
            <w:r>
              <w:t>1 lần</w:t>
            </w:r>
          </w:p>
        </w:tc>
        <w:tc>
          <w:tcPr>
            <w:tcW w:type="dxa" w:w="2351"/>
          </w:tcPr>
          <w:p>
            <w:r>
              <w:t>Kỷ luật</w:t>
            </w:r>
          </w:p>
        </w:tc>
        <w:tc>
          <w:tcPr>
            <w:tcW w:type="dxa" w:w="2351"/>
          </w:tcPr>
          <w:p>
            <w:r>
              <w:t>1.500.000</w:t>
            </w:r>
          </w:p>
        </w:tc>
      </w:tr>
      <w:tr>
        <w:tc>
          <w:tcPr>
            <w:tcW w:type="dxa" w:w="2351"/>
          </w:tcPr>
          <w:p>
            <w:r>
              <w:t>Không tuân thủ quy trình thoát hiểm</w:t>
            </w:r>
          </w:p>
        </w:tc>
        <w:tc>
          <w:tcPr>
            <w:tcW w:type="dxa" w:w="2351"/>
          </w:tcPr>
          <w:p>
            <w:r>
              <w:t>1 lần</w:t>
            </w:r>
          </w:p>
        </w:tc>
        <w:tc>
          <w:tcPr>
            <w:tcW w:type="dxa" w:w="2351"/>
          </w:tcPr>
          <w:p>
            <w:r>
              <w:t>Kỷ luật</w:t>
            </w:r>
          </w:p>
        </w:tc>
        <w:tc>
          <w:tcPr>
            <w:tcW w:type="dxa" w:w="2351"/>
          </w:tcPr>
          <w:p>
            <w:r>
              <w:t>2.000.000</w:t>
            </w:r>
          </w:p>
        </w:tc>
      </w:tr>
    </w:tbl>
    <w:p/>
    <w:p>
      <w:pPr>
        <w:pStyle w:val="Heading1"/>
        <w:spacing w:before="280" w:after="120"/>
      </w:pPr>
      <w:r>
        <w:t>VI. ĐIỀU KHOẢN THI HÀNH</w:t>
      </w:r>
    </w:p>
    <w:p>
      <w:pPr>
        <w:spacing w:after="120"/>
      </w:pPr>
      <w:r>
        <w:t>Quy định này có hiệu lực từ ngày 01/07/2026. Tất cả các văn bản quy định cũ liên quan đến phòng cháy chữa cháy và thoát hiểm sẽ bị bãi bỏ. Trách nhiệm phổ biến văn bản này thuộc về bộ phận nhân sự, đảm bảo mọi nhân viên đều nắm rõ và thực hiện đúng các quy định trong tài liệu này. Mọi đề xuất sửa đổi và cập nhật quy định sẽ được xem xét và phê duyệt bởi Giám đốc công ty.</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