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VSF/17_QD_BAO_DUONG_BINH</w:t>
      </w:r>
    </w:p>
    <w:p/>
    <w:p>
      <w:pPr>
        <w:jc w:val="center"/>
      </w:pPr>
      <w:r>
        <w:rPr>
          <w:b/>
          <w:sz w:val="28"/>
        </w:rPr>
        <w:t>QUY ĐỊNH BẢO DƯỠNG BÌNH CỨU HỎA ĐỊNH KỲ</w:t>
      </w:r>
    </w:p>
    <w:p/>
    <w:p>
      <w:pPr>
        <w:pStyle w:val="Heading1"/>
        <w:spacing w:before="280" w:after="120"/>
      </w:pPr>
      <w:r>
        <w:t>I. PHẠM VI VÀ ĐỐI TƯỢNG ÁP DỤNG</w:t>
      </w:r>
    </w:p>
    <w:p>
      <w:pPr>
        <w:spacing w:after="120"/>
      </w:pPr>
      <w:r>
        <w:t>Quy định này áp dụng cho toàn bộ nhân viên làm việc tại Công ty TNHH Công nghệ VSF, bao gồm tất cả các phòng ban, bộ phận và cá nhân có liên quan đến việc sử dụng, bảo trì và kiểm tra bình cứu hỏa tại trụ sở chính và các chi nhánh của công ty. Thời gian thực hiện bảo trì bình cứu hỏa định kỳ được quy định tại lịch bảo dưỡng cụ thể do bộ phận Hành chính lập hàng năm. Các đối tượng ngoại lệ bao gồm những nhân viên không tham gia trực tiếp vào công tác an toàn phòng cháy chữa cháy nhưng vẫn cần tuân thủ các quy định liên quan đến an toàn lao động và bảo vệ môi trường.</w:t>
      </w:r>
    </w:p>
    <w:p>
      <w:pPr>
        <w:pStyle w:val="Heading1"/>
        <w:spacing w:before="280" w:after="120"/>
      </w:pPr>
      <w:r>
        <w:t>II. ĐỊNH NGHĨA VÀ GIẢI THÍCH THUẬT NGỮ</w:t>
      </w:r>
    </w:p>
    <w:p>
      <w:pPr>
        <w:pStyle w:val="ListNumber"/>
        <w:spacing w:after="60"/>
      </w:pPr>
      <w:r>
        <w:t>1. Bình cứu hỏa: Là thiết bị dùng để dập tắt các đám cháy, thường chứa chất chữa cháy như bột, CO2 hoặc nước, và được thiết kế để sử dụng dễ dàng trong các tình huống khẩn cấp.</w:t>
      </w:r>
    </w:p>
    <w:p>
      <w:pPr>
        <w:pStyle w:val="ListNumber"/>
        <w:spacing w:after="60"/>
      </w:pPr>
      <w:r>
        <w:t>2. Bảo trì: Là quá trình kiểm tra, sửa chữa và thay thế các bộ phận của bình cứu hỏa nhằm đảm bảo thiết bị luôn ở trạng thái hoạt động tốt, sẵn sàng sử dụng khi cần thiết.</w:t>
      </w:r>
    </w:p>
    <w:p>
      <w:pPr>
        <w:pStyle w:val="ListNumber"/>
        <w:spacing w:after="60"/>
      </w:pPr>
      <w:r>
        <w:t>3. Kiểm tra áp suất: Là quy trình đo áp suất bên trong bình cứu hỏa để xác định xem bình có bị rò rỉ hoặc giảm áp suất không, từ đó đảm bảo hiệu quả chữa cháy.</w:t>
      </w:r>
    </w:p>
    <w:p>
      <w:pPr>
        <w:pStyle w:val="ListNumber"/>
        <w:spacing w:after="60"/>
      </w:pPr>
      <w:r>
        <w:t>4. Đơn vị bảo dưỡng: Là tổ chức hoặc cá nhân được cấp phép và có chuyên môn trong việc bảo trì, sửa chữa các thiết bị phòng cháy chữa cháy, bao gồm bình cứu hỏa.</w:t>
      </w:r>
    </w:p>
    <w:p>
      <w:pPr>
        <w:pStyle w:val="ListNumber"/>
        <w:spacing w:after="60"/>
      </w:pPr>
      <w:r>
        <w:t>5. Biên bản nghiệm thu: Là tài liệu ghi nhận kết quả kiểm tra, bảo trì bình cứu hỏa sau khi thực hiện, xác nhận rằng thiết bị đã được bảo trì và hoạt động an toàn.</w:t>
      </w:r>
    </w:p>
    <w:p>
      <w:pPr>
        <w:pStyle w:val="ListNumber"/>
        <w:spacing w:after="60"/>
      </w:pPr>
      <w:r>
        <w:t>6. Nhật ký bảo trì: Là tài liệu ghi chép lại toàn bộ các hoạt động bảo trì, kiểm tra và thay thế bình cứu hỏa, bao gồm thời gian, người thực hiện và kết quả kiểm tra.</w:t>
      </w:r>
    </w:p>
    <w:p>
      <w:pPr>
        <w:pStyle w:val="Heading1"/>
        <w:spacing w:before="280" w:after="120"/>
      </w:pPr>
      <w:r>
        <w:t>III. NỘI DUNG QUY ĐỊNH / QUY TRÌNH CHI TIẾT</w:t>
      </w:r>
    </w:p>
    <w:p>
      <w:pPr>
        <w:pStyle w:val="Heading2"/>
        <w:spacing w:before="200" w:after="80"/>
      </w:pPr>
      <w:r>
        <w:t>3.1. Lịch Bảo Dưỡng</w:t>
      </w:r>
    </w:p>
    <w:p>
      <w:pPr>
        <w:pStyle w:val="ListBullet"/>
        <w:spacing w:after="60"/>
      </w:pPr>
      <w:r>
        <w:t>Bộ phận Hành chính có trách nhiệm lập lịch bảo dưỡng định kỳ cho bình cứu hỏa, theo quy định của pháp luật và tiêu chuẩn ngành.</w:t>
      </w:r>
    </w:p>
    <w:p>
      <w:pPr>
        <w:pStyle w:val="ListBullet"/>
        <w:spacing w:after="60"/>
      </w:pPr>
      <w:r>
        <w:t>Lịch bảo dưỡng phải được thông báo cho toàn bộ nhân viên ít nhất 7 ngày trước khi thực hiện.</w:t>
      </w:r>
    </w:p>
    <w:p>
      <w:pPr>
        <w:pStyle w:val="ListBullet"/>
        <w:spacing w:after="60"/>
      </w:pPr>
      <w:r>
        <w:t>Lịch bảo dưỡng sẽ được cập nhật hàng năm dựa trên kết quả kiểm tra và khuyến nghị của đơn vị bảo dưỡng.</w:t>
      </w:r>
    </w:p>
    <w:p>
      <w:pPr>
        <w:pStyle w:val="Heading2"/>
        <w:spacing w:before="200" w:after="80"/>
      </w:pPr>
      <w:r>
        <w:t>3.2. Kiểm Tra Áp Suất</w:t>
      </w:r>
    </w:p>
    <w:p>
      <w:pPr>
        <w:pStyle w:val="ListBullet"/>
        <w:spacing w:after="60"/>
      </w:pPr>
      <w:r>
        <w:t>Kiểm tra áp suất bình cứu hỏa phải được thực hiện ít nhất 6 tháng một lần.</w:t>
      </w:r>
    </w:p>
    <w:p>
      <w:pPr>
        <w:pStyle w:val="ListBullet"/>
        <w:spacing w:after="60"/>
      </w:pPr>
      <w:r>
        <w:t>Kết quả kiểm tra phải được ghi vào nhật ký bảo trì và thông báo cho bộ phận Hành chính.</w:t>
      </w:r>
    </w:p>
    <w:p>
      <w:pPr>
        <w:pStyle w:val="ListBullet"/>
        <w:spacing w:after="60"/>
      </w:pPr>
      <w:r>
        <w:t>Nếu bình cứu hỏa không đáp ứng yêu cầu về áp suất, cần lập tức thông báo cho đơn vị bảo dưỡng để xử lý.</w:t>
      </w:r>
    </w:p>
    <w:p>
      <w:pPr>
        <w:pStyle w:val="Heading2"/>
        <w:spacing w:before="200" w:after="80"/>
      </w:pPr>
      <w:r>
        <w:t>3.3. Thay Bình Cứu Hỏa</w:t>
      </w:r>
    </w:p>
    <w:p>
      <w:pPr>
        <w:pStyle w:val="ListBullet"/>
        <w:spacing w:after="60"/>
      </w:pPr>
      <w:r>
        <w:t>Bình cứu hỏa phải được thay thế khi hết hạn sử dụng hoặc không còn đủ khả năng hoạt động.</w:t>
      </w:r>
    </w:p>
    <w:p>
      <w:pPr>
        <w:pStyle w:val="ListBullet"/>
        <w:spacing w:after="60"/>
      </w:pPr>
      <w:r>
        <w:t>Bộ phận Hành chính sẽ phối hợp với đơn vị bảo dưỡng để thực hiện việc thay thế bình cứu hỏa.</w:t>
      </w:r>
    </w:p>
    <w:p>
      <w:pPr>
        <w:pStyle w:val="ListBullet"/>
        <w:spacing w:after="60"/>
      </w:pPr>
      <w:r>
        <w:t>Biên bản nghiệm thu sau khi thay bình phải được lập và lưu trữ.</w:t>
      </w:r>
    </w:p>
    <w:p>
      <w:pPr>
        <w:pStyle w:val="Heading2"/>
        <w:spacing w:before="200" w:after="80"/>
      </w:pPr>
      <w:r>
        <w:t>3.4. Quy Trình Mời Đơn Vị Bảo Dưỡng</w:t>
      </w:r>
    </w:p>
    <w:p>
      <w:pPr>
        <w:pStyle w:val="ListBullet"/>
        <w:spacing w:after="60"/>
      </w:pPr>
      <w:r>
        <w:t>Bộ phận Hành chính có trách nhiệm lập danh sách các đơn vị bảo dưỡng được phép và lựa chọn đơn vị thực hiện bảo trì.</w:t>
      </w:r>
    </w:p>
    <w:p>
      <w:pPr>
        <w:pStyle w:val="ListBullet"/>
        <w:spacing w:after="60"/>
      </w:pPr>
      <w:r>
        <w:t>Quy trình mời thầu phải được thực hiện theo quy định của công ty, đảm bảo tính công bằng và minh bạch.</w:t>
      </w:r>
    </w:p>
    <w:p>
      <w:pPr>
        <w:pStyle w:val="ListBullet"/>
        <w:spacing w:after="60"/>
      </w:pPr>
      <w:r>
        <w:t>Hợp đồng với đơn vị bảo dưỡng phải được ký kết trước khi tiến hành bảo trì.</w:t>
      </w:r>
    </w:p>
    <w:p>
      <w:pPr>
        <w:pStyle w:val="Heading2"/>
        <w:spacing w:before="200" w:after="80"/>
      </w:pPr>
      <w:r>
        <w:t>3.5. Lập Biên Bản Nghiệm Thu</w:t>
      </w:r>
    </w:p>
    <w:p>
      <w:pPr>
        <w:pStyle w:val="ListBullet"/>
        <w:spacing w:after="60"/>
      </w:pPr>
      <w:r>
        <w:t>Biên bản nghiệm thu phải ghi rõ thông tin về bình cứu hỏa, kết quả kiểm tra và tình trạng sau bảo trì.</w:t>
      </w:r>
    </w:p>
    <w:p>
      <w:pPr>
        <w:pStyle w:val="ListBullet"/>
        <w:spacing w:after="60"/>
      </w:pPr>
      <w:r>
        <w:t>Biên bản này phải có chữ ký của đại diện bộ phận Hành chính và đơn vị bảo dưỡng.</w:t>
      </w:r>
    </w:p>
    <w:p>
      <w:pPr>
        <w:pStyle w:val="ListBullet"/>
        <w:spacing w:after="60"/>
      </w:pPr>
      <w:r>
        <w:t>Biên bản nghiệm thu sẽ được lưu trữ tại bộ phận Hành chính để phục vụ kiểm tra định kỳ.</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Nội dung Bảo trì</w:t>
            </w:r>
          </w:p>
        </w:tc>
        <w:tc>
          <w:tcPr>
            <w:tcW w:type="dxa" w:w="3135"/>
          </w:tcPr>
          <w:p>
            <w:r>
              <w:rPr>
                <w:b/>
              </w:rPr>
              <w:t>Thời gian thực hiện</w:t>
            </w:r>
          </w:p>
        </w:tc>
        <w:tc>
          <w:tcPr>
            <w:tcW w:type="dxa" w:w="3135"/>
          </w:tcPr>
          <w:p>
            <w:r>
              <w:rPr>
                <w:b/>
              </w:rPr>
              <w:t>Người thực hiện</w:t>
            </w:r>
          </w:p>
        </w:tc>
      </w:tr>
      <w:tr>
        <w:tc>
          <w:tcPr>
            <w:tcW w:type="dxa" w:w="3135"/>
          </w:tcPr>
          <w:p>
            <w:r>
              <w:t>Kiểm tra áp suất</w:t>
            </w:r>
          </w:p>
        </w:tc>
        <w:tc>
          <w:tcPr>
            <w:tcW w:type="dxa" w:w="3135"/>
          </w:tcPr>
          <w:p>
            <w:r>
              <w:t>01/01/2026</w:t>
            </w:r>
          </w:p>
        </w:tc>
        <w:tc>
          <w:tcPr>
            <w:tcW w:type="dxa" w:w="3135"/>
          </w:tcPr>
          <w:p>
            <w:r>
              <w:t>Nguyễn Văn A</w:t>
            </w:r>
          </w:p>
        </w:tc>
      </w:tr>
      <w:tr>
        <w:tc>
          <w:tcPr>
            <w:tcW w:type="dxa" w:w="3135"/>
          </w:tcPr>
          <w:p>
            <w:r>
              <w:t>Thay bình cứu hỏa</w:t>
            </w:r>
          </w:p>
        </w:tc>
        <w:tc>
          <w:tcPr>
            <w:tcW w:type="dxa" w:w="3135"/>
          </w:tcPr>
          <w:p>
            <w:r>
              <w:t>01/07/2026</w:t>
            </w:r>
          </w:p>
        </w:tc>
        <w:tc>
          <w:tcPr>
            <w:tcW w:type="dxa" w:w="3135"/>
          </w:tcPr>
          <w:p>
            <w:r>
              <w:t>Trần Thị B</w:t>
            </w:r>
          </w:p>
        </w:tc>
      </w:tr>
      <w:tr>
        <w:tc>
          <w:tcPr>
            <w:tcW w:type="dxa" w:w="3135"/>
          </w:tcPr>
          <w:p>
            <w:r>
              <w:t>Lập biên bản nghiệm thu</w:t>
            </w:r>
          </w:p>
        </w:tc>
        <w:tc>
          <w:tcPr>
            <w:tcW w:type="dxa" w:w="3135"/>
          </w:tcPr>
          <w:p>
            <w:r>
              <w:t>01/07/2026</w:t>
            </w:r>
          </w:p>
        </w:tc>
        <w:tc>
          <w:tcPr>
            <w:tcW w:type="dxa" w:w="3135"/>
          </w:tcPr>
          <w:p>
            <w:r>
              <w:t>Lê Văn C</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Vai trò/Bộ phận</w:t>
            </w:r>
          </w:p>
        </w:tc>
        <w:tc>
          <w:tcPr>
            <w:tcW w:type="dxa" w:w="4702"/>
          </w:tcPr>
          <w:p>
            <w:r>
              <w:rPr>
                <w:b/>
              </w:rPr>
              <w:t>Trách nhiệm</w:t>
            </w:r>
          </w:p>
        </w:tc>
      </w:tr>
      <w:tr>
        <w:tc>
          <w:tcPr>
            <w:tcW w:type="dxa" w:w="4702"/>
          </w:tcPr>
          <w:p>
            <w:r>
              <w:t>Bộ phận Hành chính</w:t>
            </w:r>
          </w:p>
        </w:tc>
        <w:tc>
          <w:tcPr>
            <w:tcW w:type="dxa" w:w="4702"/>
          </w:tcPr>
          <w:p>
            <w:r>
              <w:t>1. Lập lịch bảo dưỡng bình cứu hỏa định kỳ. 2. Thông báo lịch bảo trì cho toàn bộ nhân viên. 3. Lưu trữ nhật ký bảo trì.</w:t>
            </w:r>
          </w:p>
        </w:tc>
      </w:tr>
      <w:tr>
        <w:tc>
          <w:tcPr>
            <w:tcW w:type="dxa" w:w="4702"/>
          </w:tcPr>
          <w:p>
            <w:r>
              <w:t>Đơn vị bảo dưỡng</w:t>
            </w:r>
          </w:p>
        </w:tc>
        <w:tc>
          <w:tcPr>
            <w:tcW w:type="dxa" w:w="4702"/>
          </w:tcPr>
          <w:p>
            <w:r>
              <w:t>1. Thực hiện bảo trì và kiểm tra bình cứu hỏa. 2. Cung cấp biên bản nghiệm thu sau khi bảo trì. 3. Đảm bảo thiết bị đáp ứng tiêu chuẩn an toàn.</w:t>
            </w:r>
          </w:p>
        </w:tc>
      </w:tr>
      <w:tr>
        <w:tc>
          <w:tcPr>
            <w:tcW w:type="dxa" w:w="4702"/>
          </w:tcPr>
          <w:p>
            <w:r>
              <w:t>Nhân viên</w:t>
            </w:r>
          </w:p>
        </w:tc>
        <w:tc>
          <w:tcPr>
            <w:tcW w:type="dxa" w:w="4702"/>
          </w:tcPr>
          <w:p>
            <w:r>
              <w:t>1. Tham gia vào các buổi tập huấn về an toàn phòng cháy chữa cháy. 2. Báo cáo kịp thời về tình trạng bình cứu hỏa. 3. Thực hiện đúng quy định bảo trì bình cứu hỏa.</w:t>
            </w:r>
          </w:p>
        </w:tc>
      </w:tr>
      <w:tr>
        <w:tc>
          <w:tcPr>
            <w:tcW w:type="dxa" w:w="4702"/>
          </w:tcPr>
          <w:p>
            <w:r>
              <w:t>Giám đốc điều hành</w:t>
            </w:r>
          </w:p>
        </w:tc>
        <w:tc>
          <w:tcPr>
            <w:tcW w:type="dxa" w:w="4702"/>
          </w:tcPr>
          <w:p>
            <w:r>
              <w:t>1. Quản lý và giám sát toàn bộ hoạt động bảo trì bình cứu hỏa. 2. Phê duyệt ngân sách cho hoạt động bảo trì. 3. Đảm bảo việc thực hiện quy định này trong toàn công ty.</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Mức vi phạm</w:t>
            </w:r>
          </w:p>
        </w:tc>
        <w:tc>
          <w:tcPr>
            <w:tcW w:type="dxa" w:w="1881"/>
          </w:tcPr>
          <w:p>
            <w:r>
              <w:rPr>
                <w:b/>
              </w:rPr>
              <w:t>Hành vi vi phạm</w:t>
            </w:r>
          </w:p>
        </w:tc>
        <w:tc>
          <w:tcPr>
            <w:tcW w:type="dxa" w:w="1881"/>
          </w:tcPr>
          <w:p>
            <w:r>
              <w:rPr>
                <w:b/>
              </w:rPr>
              <w:t>Số lần</w:t>
            </w:r>
          </w:p>
        </w:tc>
        <w:tc>
          <w:tcPr>
            <w:tcW w:type="dxa" w:w="1881"/>
          </w:tcPr>
          <w:p>
            <w:r>
              <w:rPr>
                <w:b/>
              </w:rPr>
              <w:t>Hình thức xử lý</w:t>
            </w:r>
          </w:p>
        </w:tc>
        <w:tc>
          <w:tcPr>
            <w:tcW w:type="dxa" w:w="1881"/>
          </w:tcPr>
          <w:p>
            <w:r>
              <w:rPr>
                <w:b/>
              </w:rPr>
              <w:t>Mức tiền phạt (VNĐ)</w:t>
            </w:r>
          </w:p>
        </w:tc>
      </w:tr>
      <w:tr>
        <w:tc>
          <w:tcPr>
            <w:tcW w:type="dxa" w:w="1881"/>
          </w:tcPr>
          <w:p>
            <w:r>
              <w:t>1</w:t>
            </w:r>
          </w:p>
        </w:tc>
        <w:tc>
          <w:tcPr>
            <w:tcW w:type="dxa" w:w="1881"/>
          </w:tcPr>
          <w:p>
            <w:r>
              <w:t>Không thực hiện kiểm tra áp suất đúng thời hạn</w:t>
            </w:r>
          </w:p>
        </w:tc>
        <w:tc>
          <w:tcPr>
            <w:tcW w:type="dxa" w:w="1881"/>
          </w:tcPr>
          <w:p>
            <w:r>
              <w:t>1 lần</w:t>
            </w:r>
          </w:p>
        </w:tc>
        <w:tc>
          <w:tcPr>
            <w:tcW w:type="dxa" w:w="1881"/>
          </w:tcPr>
          <w:p>
            <w:r>
              <w:t>Cảnh cáo</w:t>
            </w:r>
          </w:p>
        </w:tc>
        <w:tc>
          <w:tcPr>
            <w:tcW w:type="dxa" w:w="1881"/>
          </w:tcPr>
          <w:p>
            <w:r>
              <w:t>500.000</w:t>
            </w:r>
          </w:p>
        </w:tc>
      </w:tr>
      <w:tr>
        <w:tc>
          <w:tcPr>
            <w:tcW w:type="dxa" w:w="1881"/>
          </w:tcPr>
          <w:p>
            <w:r>
              <w:t>2</w:t>
            </w:r>
          </w:p>
        </w:tc>
        <w:tc>
          <w:tcPr>
            <w:tcW w:type="dxa" w:w="1881"/>
          </w:tcPr>
          <w:p>
            <w:r>
              <w:t>Không lập biên bản nghiệm thu sau bảo trì</w:t>
            </w:r>
          </w:p>
        </w:tc>
        <w:tc>
          <w:tcPr>
            <w:tcW w:type="dxa" w:w="1881"/>
          </w:tcPr>
          <w:p>
            <w:r>
              <w:t>1 lần</w:t>
            </w:r>
          </w:p>
        </w:tc>
        <w:tc>
          <w:tcPr>
            <w:tcW w:type="dxa" w:w="1881"/>
          </w:tcPr>
          <w:p>
            <w:r>
              <w:t>Phạt tiền</w:t>
            </w:r>
          </w:p>
        </w:tc>
        <w:tc>
          <w:tcPr>
            <w:tcW w:type="dxa" w:w="1881"/>
          </w:tcPr>
          <w:p>
            <w:r>
              <w:t>1.000.000</w:t>
            </w:r>
          </w:p>
        </w:tc>
      </w:tr>
      <w:tr>
        <w:tc>
          <w:tcPr>
            <w:tcW w:type="dxa" w:w="1881"/>
          </w:tcPr>
          <w:p>
            <w:r>
              <w:t>3</w:t>
            </w:r>
          </w:p>
        </w:tc>
        <w:tc>
          <w:tcPr>
            <w:tcW w:type="dxa" w:w="1881"/>
          </w:tcPr>
          <w:p>
            <w:r>
              <w:t>Không thông báo lịch bảo trì cho nhân viên</w:t>
            </w:r>
          </w:p>
        </w:tc>
        <w:tc>
          <w:tcPr>
            <w:tcW w:type="dxa" w:w="1881"/>
          </w:tcPr>
          <w:p>
            <w:r>
              <w:t>2 lần</w:t>
            </w:r>
          </w:p>
        </w:tc>
        <w:tc>
          <w:tcPr>
            <w:tcW w:type="dxa" w:w="1881"/>
          </w:tcPr>
          <w:p>
            <w:r>
              <w:t>Cắt thưởng tháng</w:t>
            </w:r>
          </w:p>
        </w:tc>
        <w:tc>
          <w:tcPr>
            <w:tcW w:type="dxa" w:w="1881"/>
          </w:tcPr>
          <w:p>
            <w:r>
              <w:t>1.500.000</w:t>
            </w:r>
          </w:p>
        </w:tc>
      </w:tr>
      <w:tr>
        <w:tc>
          <w:tcPr>
            <w:tcW w:type="dxa" w:w="1881"/>
          </w:tcPr>
          <w:p>
            <w:r>
              <w:t>4</w:t>
            </w:r>
          </w:p>
        </w:tc>
        <w:tc>
          <w:tcPr>
            <w:tcW w:type="dxa" w:w="1881"/>
          </w:tcPr>
          <w:p>
            <w:r>
              <w:t>Không thay bình cứu hỏa hết hạn sử dụng</w:t>
            </w:r>
          </w:p>
        </w:tc>
        <w:tc>
          <w:tcPr>
            <w:tcW w:type="dxa" w:w="1881"/>
          </w:tcPr>
          <w:p>
            <w:r>
              <w:t>1 lần</w:t>
            </w:r>
          </w:p>
        </w:tc>
        <w:tc>
          <w:tcPr>
            <w:tcW w:type="dxa" w:w="1881"/>
          </w:tcPr>
          <w:p>
            <w:r>
              <w:t>Đình chỉ công tác</w:t>
            </w:r>
          </w:p>
        </w:tc>
        <w:tc>
          <w:tcPr>
            <w:tcW w:type="dxa" w:w="1881"/>
          </w:tcPr>
          <w:p>
            <w:r>
              <w:t>3.000.000</w:t>
            </w:r>
          </w:p>
        </w:tc>
      </w:tr>
    </w:tbl>
    <w:p/>
    <w:p>
      <w:pPr>
        <w:pStyle w:val="Heading1"/>
        <w:spacing w:before="280" w:after="120"/>
      </w:pPr>
      <w:r>
        <w:t>VI. ĐIỀU KHOẢN THI HÀNH</w:t>
      </w:r>
    </w:p>
    <w:p>
      <w:pPr>
        <w:spacing w:after="120"/>
      </w:pPr>
      <w:r>
        <w:t>Quy định này có hiệu lực từ ngày 01/07/2026 và thay thế tất cả các văn bản quy định trước đây liên quan đến bảo trì bình cứu hỏa trong Công ty TNHH Công nghệ VSF. Tất cả các bộ phận và cá nhân trong công ty có trách nhiệm phổ biến nội dung quy định này đến toàn bộ nhân viên. Cơ chế cập nhật và sửa đổi quy định sẽ được thực hiện theo quy định của công ty, dựa trên tình hình thực tế và khuyến nghị của các bộ phận liên quan.</w:t>
      </w:r>
    </w:p>
    <w:p>
      <w:pPr>
        <w:spacing w:after="120"/>
      </w:pPr>
      <w:r>
        <w:t>TP. Ho Chi Minh, ngày 01 tháng 07 năm 2026</w:t>
      </w:r>
    </w:p>
    <w:p>
      <w:pPr>
        <w:pStyle w:val="Heading1"/>
        <w:spacing w:before="280" w:after="120"/>
      </w:pPr>
      <w:r>
        <w:t>GIÁM ĐỐC ĐIỀU HÀNH</w:t>
      </w:r>
    </w:p>
    <w:p>
      <w:pPr>
        <w:spacing w:after="120"/>
      </w:pPr>
      <w:r>
        <w:t>Nguyễn Minh Thành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