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VSF/21_QD_MAT_THE_CHO_MU</w:t>
      </w:r>
    </w:p>
    <w:p/>
    <w:p>
      <w:pPr>
        <w:jc w:val="center"/>
      </w:pPr>
      <w:r>
        <w:rPr>
          <w:b/>
          <w:sz w:val="28"/>
        </w:rPr>
        <w:t>CƠ CHẾ XỬ PHẠT LÀM MẤT THẺ HOẶC CHO NGƯỜI NGOÀI MƯỢN THẺ</w:t>
      </w:r>
    </w:p>
    <w:p/>
    <w:p>
      <w:pPr>
        <w:pStyle w:val="Heading1"/>
        <w:spacing w:before="280" w:after="120"/>
      </w:pPr>
      <w:r>
        <w:t>CÔNG TY TNHH CÔNG NGHỆ VSF</w:t>
      </w:r>
    </w:p>
    <w:p>
      <w:pPr>
        <w:pStyle w:val="Heading1"/>
        <w:spacing w:before="280" w:after="120"/>
      </w:pPr>
      <w:r>
        <w:t>I. PHẠM VI VÀ ĐỐI TƯỢNG ÁP DỤNG</w:t>
      </w:r>
    </w:p>
    <w:p>
      <w:pPr>
        <w:spacing w:after="120"/>
      </w:pPr>
      <w:r>
        <w:t>Cơ chế xử phạt này áp dụng cho toàn bộ nhân viên của Công ty TNHH Công nghệ VSF, bao gồm nhưng không giới hạn ở các chức danh như nhân viên, quản lý, lãnh đạo phòng ban và các đối tác liên quan trong công ty. Thời gian áp dụng bắt đầu từ ngày 01/07/2026 và kéo dài cho đến khi có thông báo thay đổi hoặc bãi bỏ. Phạm vi không gian áp dụng là tất cả các địa điểm làm việc của công ty, bao gồm văn phòng chính, các chi nhánh và các địa điểm làm việc khác của công ty. Các đối tượng ngoại lệ bao gồm các nhân viên đang trong thời gian thử việc, các viên chức và cán bộ của cơ quan nhà nước làm việc tại công ty theo hình thức hợp đồng, hoặc các đối tác không thuộc công ty nhưng được ủy quyền thực hiện một số công việc cụ thể.</w:t>
      </w:r>
    </w:p>
    <w:p>
      <w:pPr>
        <w:pStyle w:val="Heading1"/>
        <w:spacing w:before="280" w:after="120"/>
      </w:pPr>
      <w:r>
        <w:t>II. ĐỊNH NGHĨA VÀ GIẢI THÍCH THUẬT NGỮ</w:t>
      </w:r>
    </w:p>
    <w:p>
      <w:pPr>
        <w:pStyle w:val="ListNumber"/>
        <w:spacing w:after="60"/>
      </w:pPr>
      <w:r>
        <w:t>1. Thẻ nhân viên: Là tài liệu xác nhận danh tính của nhân viên trong công ty, được cấp cho mỗi nhân viên và chứa thông tin cá nhân như họ tên, chức danh, phòng ban và mã số nhân viên.</w:t>
      </w:r>
    </w:p>
    <w:p>
      <w:pPr>
        <w:pStyle w:val="ListNumber"/>
        <w:spacing w:after="60"/>
      </w:pPr>
      <w:r>
        <w:t>2. Mất thẻ: Là tình trạng khi nhân viên không còn sở hữu thẻ nhân viên do bị đánh rơi, mất cắp hoặc bất kỳ lý do nào khác dẫn đến việc không thể sử dụng được thẻ đó.</w:t>
      </w:r>
    </w:p>
    <w:p>
      <w:pPr>
        <w:pStyle w:val="ListNumber"/>
        <w:spacing w:after="60"/>
      </w:pPr>
      <w:r>
        <w:t>3. Mượn thẻ: Là hành vi cho phép một cá nhân không phải là nhân viên của công ty sử dụng thẻ nhân viên của mình để vào khu vực làm việc hoặc thực hiện các quyền lợi liên quan đến thẻ.</w:t>
      </w:r>
    </w:p>
    <w:p>
      <w:pPr>
        <w:pStyle w:val="ListNumber"/>
        <w:spacing w:after="60"/>
      </w:pPr>
      <w:r>
        <w:t>4. Phí đền bù: Là khoản tiền mà nhân viên phải trả cho công ty khi làm mất thẻ nhân viên, nhằm bù đắp chi phí cấp lại thẻ.</w:t>
      </w:r>
    </w:p>
    <w:p>
      <w:pPr>
        <w:pStyle w:val="ListNumber"/>
        <w:spacing w:after="60"/>
      </w:pPr>
      <w:r>
        <w:t>5. Vi phạm nội quy: Là hành động không tuân thủ các quy định đã được ban hành trong nội bộ công ty, bao gồm việc làm mất thẻ hoặc cho người ngoài mượn thẻ.</w:t>
      </w:r>
    </w:p>
    <w:p>
      <w:pPr>
        <w:pStyle w:val="ListNumber"/>
        <w:spacing w:after="60"/>
      </w:pPr>
      <w:r>
        <w:t>6. Bộ phận An ninh: Là bộ phận chịu trách nhiệm đảm bảo an toàn, an ninh cho công ty, bao gồm việc quản lý thẻ nhân viên và xử lý các trường hợp liên quan đến mất thẻ hoặc cho mượn thẻ.</w:t>
      </w:r>
    </w:p>
    <w:p>
      <w:pPr>
        <w:pStyle w:val="Heading1"/>
        <w:spacing w:before="280" w:after="120"/>
      </w:pPr>
      <w:r>
        <w:t>III. NỘI DUNG QUY ĐỊNH / QUY TRÌNH CHI TIẾT</w:t>
      </w:r>
    </w:p>
    <w:p>
      <w:pPr>
        <w:pStyle w:val="Heading2"/>
        <w:spacing w:before="200" w:after="80"/>
      </w:pPr>
      <w:r>
        <w:t>3.1. Thủ tục báo mất thẻ</w:t>
      </w:r>
    </w:p>
    <w:p>
      <w:pPr>
        <w:pStyle w:val="ListBullet"/>
        <w:spacing w:after="60"/>
      </w:pPr>
      <w:r>
        <w:t>Nhân viên khi phát hiện mất thẻ phải lập tức thông báo bằng văn bản cho bộ phận An ninh và người quản lý trực tiếp.</w:t>
      </w:r>
    </w:p>
    <w:p>
      <w:pPr>
        <w:pStyle w:val="ListBullet"/>
        <w:spacing w:after="60"/>
      </w:pPr>
      <w:r>
        <w:t>Trong vòng 24 giờ kể từ khi phát hiện mất thẻ, nhân viên phải hoàn thành mẫu báo mất thẻ và nộp cho bộ phận An ninh.</w:t>
      </w:r>
    </w:p>
    <w:p>
      <w:pPr>
        <w:pStyle w:val="ListBullet"/>
        <w:spacing w:after="60"/>
      </w:pPr>
      <w:r>
        <w:t>Bộ phận An ninh sẽ tiến hành xác minh thông tin và hướng dẫn nhân viên làm thủ tục cấp lại thẻ.</w:t>
      </w:r>
    </w:p>
    <w:p>
      <w:pPr>
        <w:pStyle w:val="Heading2"/>
        <w:spacing w:before="200" w:after="80"/>
      </w:pPr>
      <w:r>
        <w:t>3.2. Mức phí đền bù khi làm mất thẻ</w:t>
      </w:r>
    </w:p>
    <w:p>
      <w:pPr>
        <w:pStyle w:val="ListBullet"/>
        <w:spacing w:after="60"/>
      </w:pPr>
      <w:r>
        <w:t>Nhân viên sẽ phải chịu phí đền bù khi làm mất thẻ, với mức phí cụ thể được quy định trong bảng bên dưới.</w:t>
      </w:r>
    </w:p>
    <w:p>
      <w:pPr>
        <w:pStyle w:val="ListBullet"/>
        <w:spacing w:after="60"/>
      </w:pPr>
      <w:r>
        <w:t>Phí đền bù sẽ được trừ vào lương tháng của nhân viên trong tháng tiếp theo sau khi làm mất thẻ.</w:t>
      </w:r>
    </w:p>
    <w:p>
      <w:pPr>
        <w:pStyle w:val="ListBullet"/>
        <w:spacing w:after="60"/>
      </w:pPr>
      <w:r>
        <w:t>Mức phí đền bù sẽ được điều chỉnh theo từng thời kỳ và thông báo công khai tới toàn thể nhân viên.</w:t>
      </w:r>
    </w:p>
    <w:p>
      <w:pPr>
        <w:pStyle w:val="Heading2"/>
        <w:spacing w:before="200" w:after="80"/>
      </w:pPr>
      <w:r>
        <w:t>3.3. Quy định về cho mượn thẻ</w:t>
      </w:r>
    </w:p>
    <w:p>
      <w:pPr>
        <w:pStyle w:val="ListBullet"/>
        <w:spacing w:after="60"/>
      </w:pPr>
      <w:r>
        <w:t>Nhân viên không được phép cho bất kỳ ai, kể cả đồng nghiệp, mượn thẻ nhân viên của mình.</w:t>
      </w:r>
    </w:p>
    <w:p>
      <w:pPr>
        <w:pStyle w:val="ListBullet"/>
        <w:spacing w:after="60"/>
      </w:pPr>
      <w:r>
        <w:t>Trong trường hợp cần thiết, nhân viên phải xin phép bộ phận An ninh và phải được sự đồng ý của quản lý trực tiếp.</w:t>
      </w:r>
    </w:p>
    <w:p>
      <w:pPr>
        <w:pStyle w:val="ListBullet"/>
        <w:spacing w:after="60"/>
      </w:pPr>
      <w:r>
        <w:t>Việc cho mượn thẻ sẽ bị xử lý vi phạm theo quy định tại phần V của tài liệu này.</w:t>
      </w:r>
    </w:p>
    <w:p>
      <w:pPr>
        <w:pStyle w:val="Heading2"/>
        <w:spacing w:before="200" w:after="80"/>
      </w:pPr>
      <w:r>
        <w:t>3.4. Quy trình xử lý vi phạm</w:t>
      </w:r>
    </w:p>
    <w:p>
      <w:pPr>
        <w:pStyle w:val="ListBullet"/>
        <w:spacing w:after="60"/>
      </w:pPr>
      <w:r>
        <w:t>Tất cả các trường hợp vi phạm sẽ được ghi nhận và xử lý theo quy trình của bộ phận An ninh.</w:t>
      </w:r>
    </w:p>
    <w:p>
      <w:pPr>
        <w:pStyle w:val="ListBullet"/>
        <w:spacing w:after="60"/>
      </w:pPr>
      <w:r>
        <w:t>Nhân viên vi phạm sẽ bị mời làm việc để làm rõ sự việc và đưa ra hình thức xử lý phù hợp.</w:t>
      </w:r>
    </w:p>
    <w:p>
      <w:pPr>
        <w:pStyle w:val="ListBullet"/>
        <w:spacing w:after="60"/>
      </w:pPr>
      <w:r>
        <w:t>Các hình thức xử lý có thể bao gồm nhắc nhở, cảnh cáo hoặc phạt tiền, tùy theo mức độ vi phạm.</w:t>
      </w:r>
    </w:p>
    <w:p>
      <w:pPr>
        <w:pStyle w:val="Heading2"/>
        <w:spacing w:before="200" w:after="80"/>
      </w:pPr>
      <w:r>
        <w:t>3.5. Báo cáo và tổng kết</w:t>
      </w:r>
    </w:p>
    <w:p>
      <w:pPr>
        <w:pStyle w:val="ListBullet"/>
        <w:spacing w:after="60"/>
      </w:pPr>
      <w:r>
        <w:t>Bộ phận An ninh sẽ tiến hành tổng hợp báo cáo định kỳ về tình hình mất thẻ và vi phạm cho ban lãnh đạo.</w:t>
      </w:r>
    </w:p>
    <w:p>
      <w:pPr>
        <w:pStyle w:val="ListBullet"/>
        <w:spacing w:after="60"/>
      </w:pPr>
      <w:r>
        <w:t>Báo cáo sẽ bao gồm số lượng thẻ mất, số lần vi phạm và các hình thức xử lý đã thực hiện.</w:t>
      </w:r>
    </w:p>
    <w:p>
      <w:pPr>
        <w:pStyle w:val="ListBullet"/>
        <w:spacing w:after="60"/>
      </w:pPr>
      <w:r>
        <w:t>Dựa trên báo cáo, công ty sẽ xem xét và điều chỉnh các quy định nếu cần thiết.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Mất thẻ lần đầu</w:t>
            </w:r>
          </w:p>
        </w:tc>
        <w:tc>
          <w:tcPr>
            <w:tcW w:type="dxa" w:w="2351"/>
          </w:tcPr>
          <w:p>
            <w:r>
              <w:t>1</w:t>
            </w:r>
          </w:p>
        </w:tc>
        <w:tc>
          <w:tcPr>
            <w:tcW w:type="dxa" w:w="2351"/>
          </w:tcPr>
          <w:p>
            <w:r>
              <w:t>Nhắc nhở</w:t>
            </w:r>
          </w:p>
        </w:tc>
        <w:tc>
          <w:tcPr>
            <w:tcW w:type="dxa" w:w="2351"/>
          </w:tcPr>
          <w:p>
            <w:r>
              <w:t>500.000</w:t>
            </w:r>
          </w:p>
        </w:tc>
      </w:tr>
      <w:tr>
        <w:tc>
          <w:tcPr>
            <w:tcW w:type="dxa" w:w="2351"/>
          </w:tcPr>
          <w:p>
            <w:r>
              <w:t>Mất thẻ lần hai</w:t>
            </w:r>
          </w:p>
        </w:tc>
        <w:tc>
          <w:tcPr>
            <w:tcW w:type="dxa" w:w="2351"/>
          </w:tcPr>
          <w:p>
            <w:r>
              <w:t>2</w:t>
            </w:r>
          </w:p>
        </w:tc>
        <w:tc>
          <w:tcPr>
            <w:tcW w:type="dxa" w:w="2351"/>
          </w:tcPr>
          <w:p>
            <w:r>
              <w:t>Cảnh cáo, phạt tiền</w:t>
            </w:r>
          </w:p>
        </w:tc>
        <w:tc>
          <w:tcPr>
            <w:tcW w:type="dxa" w:w="2351"/>
          </w:tcPr>
          <w:p>
            <w:r>
              <w:t>1.000.000</w:t>
            </w:r>
          </w:p>
        </w:tc>
      </w:tr>
      <w:tr>
        <w:tc>
          <w:tcPr>
            <w:tcW w:type="dxa" w:w="2351"/>
          </w:tcPr>
          <w:p>
            <w:r>
              <w:t>Cho người ngoài mượn thẻ</w:t>
            </w:r>
          </w:p>
        </w:tc>
        <w:tc>
          <w:tcPr>
            <w:tcW w:type="dxa" w:w="2351"/>
          </w:tcPr>
          <w:p>
            <w:r>
              <w:t>1</w:t>
            </w:r>
          </w:p>
        </w:tc>
        <w:tc>
          <w:tcPr>
            <w:tcW w:type="dxa" w:w="2351"/>
          </w:tcPr>
          <w:p>
            <w:r>
              <w:t>Cảnh cáo, phạt tiền</w:t>
            </w:r>
          </w:p>
        </w:tc>
        <w:tc>
          <w:tcPr>
            <w:tcW w:type="dxa" w:w="2351"/>
          </w:tcPr>
          <w:p>
            <w:r>
              <w:t>1.500.000</w:t>
            </w:r>
          </w:p>
        </w:tc>
      </w:tr>
      <w:tr>
        <w:tc>
          <w:tcPr>
            <w:tcW w:type="dxa" w:w="2351"/>
          </w:tcPr>
          <w:p>
            <w:r>
              <w:t>Mất thẻ lần ba trở lên</w:t>
            </w:r>
          </w:p>
        </w:tc>
        <w:tc>
          <w:tcPr>
            <w:tcW w:type="dxa" w:w="2351"/>
          </w:tcPr>
          <w:p>
            <w:r>
              <w:t>3+</w:t>
            </w:r>
          </w:p>
        </w:tc>
        <w:tc>
          <w:tcPr>
            <w:tcW w:type="dxa" w:w="2351"/>
          </w:tcPr>
          <w:p>
            <w:r>
              <w:t>Kỷ luật hành chính, phạt tiền</w:t>
            </w:r>
          </w:p>
        </w:tc>
        <w:tc>
          <w:tcPr>
            <w:tcW w:type="dxa" w:w="2351"/>
          </w:tcPr>
          <w:p>
            <w:r>
              <w:t>2.000.000</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Bộ phận An ninh</w:t>
            </w:r>
          </w:p>
        </w:tc>
        <w:tc>
          <w:tcPr>
            <w:tcW w:type="dxa" w:w="4702"/>
          </w:tcPr>
          <w:p>
            <w:r>
              <w:t>1. Theo dõi và quản lý việc cấp phát thẻ nhân viên. 2. Tiếp nhận và xử lý các yêu cầu báo mất thẻ. 3. Thực hiện các biện pháp an ninh liên quan đến thẻ nhân viên.</w:t>
            </w:r>
          </w:p>
        </w:tc>
      </w:tr>
      <w:tr>
        <w:tc>
          <w:tcPr>
            <w:tcW w:type="dxa" w:w="4702"/>
          </w:tcPr>
          <w:p>
            <w:r>
              <w:t>Nhân viên</w:t>
            </w:r>
          </w:p>
        </w:tc>
        <w:tc>
          <w:tcPr>
            <w:tcW w:type="dxa" w:w="4702"/>
          </w:tcPr>
          <w:p>
            <w:r>
              <w:t>1. Thông báo ngay khi làm mất thẻ. 2. Không cho mượn thẻ cho người khác. 3. Thực hiện các quy định về bảo quản thẻ.</w:t>
            </w:r>
          </w:p>
        </w:tc>
      </w:tr>
      <w:tr>
        <w:tc>
          <w:tcPr>
            <w:tcW w:type="dxa" w:w="4702"/>
          </w:tcPr>
          <w:p>
            <w:r>
              <w:t>Quản lý phòng ban</w:t>
            </w:r>
          </w:p>
        </w:tc>
        <w:tc>
          <w:tcPr>
            <w:tcW w:type="dxa" w:w="4702"/>
          </w:tcPr>
          <w:p>
            <w:r>
              <w:t>1. Giám sát nhân viên trong việc sử dụng thẻ. 2. Phối hợp với bộ phận An ninh trong việc xử lý vi phạm. 3. Đảm bảo nhân viên được thông báo đầy đủ về quy định.</w:t>
            </w:r>
          </w:p>
        </w:tc>
      </w:tr>
      <w:tr>
        <w:tc>
          <w:tcPr>
            <w:tcW w:type="dxa" w:w="4702"/>
          </w:tcPr>
          <w:p>
            <w:r>
              <w:t>Ban lãnh đạo</w:t>
            </w:r>
          </w:p>
        </w:tc>
        <w:tc>
          <w:tcPr>
            <w:tcW w:type="dxa" w:w="4702"/>
          </w:tcPr>
          <w:p>
            <w:r>
              <w:t>1. Phê duyệt các quy định liên quan đến thẻ nhân viên. 2. Đánh giá và điều chỉnh quy chế xử phạt khi cần thiết. 3. Đảm bảo thông tin quy định được truyền đạt đến toàn thể nhân viên.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Mất thẻ lần đầu</w:t>
            </w:r>
          </w:p>
        </w:tc>
        <w:tc>
          <w:tcPr>
            <w:tcW w:type="dxa" w:w="2351"/>
          </w:tcPr>
          <w:p>
            <w:r>
              <w:t>1</w:t>
            </w:r>
          </w:p>
        </w:tc>
        <w:tc>
          <w:tcPr>
            <w:tcW w:type="dxa" w:w="2351"/>
          </w:tcPr>
          <w:p>
            <w:r>
              <w:t>Nhắc nhở</w:t>
            </w:r>
          </w:p>
        </w:tc>
        <w:tc>
          <w:tcPr>
            <w:tcW w:type="dxa" w:w="2351"/>
          </w:tcPr>
          <w:p>
            <w:r>
              <w:t>500.000</w:t>
            </w:r>
          </w:p>
        </w:tc>
      </w:tr>
      <w:tr>
        <w:tc>
          <w:tcPr>
            <w:tcW w:type="dxa" w:w="2351"/>
          </w:tcPr>
          <w:p>
            <w:r>
              <w:t>Mất thẻ lần hai</w:t>
            </w:r>
          </w:p>
        </w:tc>
        <w:tc>
          <w:tcPr>
            <w:tcW w:type="dxa" w:w="2351"/>
          </w:tcPr>
          <w:p>
            <w:r>
              <w:t>2</w:t>
            </w:r>
          </w:p>
        </w:tc>
        <w:tc>
          <w:tcPr>
            <w:tcW w:type="dxa" w:w="2351"/>
          </w:tcPr>
          <w:p>
            <w:r>
              <w:t>Cảnh cáo, phạt tiền</w:t>
            </w:r>
          </w:p>
        </w:tc>
        <w:tc>
          <w:tcPr>
            <w:tcW w:type="dxa" w:w="2351"/>
          </w:tcPr>
          <w:p>
            <w:r>
              <w:t>1.000.000</w:t>
            </w:r>
          </w:p>
        </w:tc>
      </w:tr>
      <w:tr>
        <w:tc>
          <w:tcPr>
            <w:tcW w:type="dxa" w:w="2351"/>
          </w:tcPr>
          <w:p>
            <w:r>
              <w:t>Cho người ngoài mượn thẻ</w:t>
            </w:r>
          </w:p>
        </w:tc>
        <w:tc>
          <w:tcPr>
            <w:tcW w:type="dxa" w:w="2351"/>
          </w:tcPr>
          <w:p>
            <w:r>
              <w:t>1</w:t>
            </w:r>
          </w:p>
        </w:tc>
        <w:tc>
          <w:tcPr>
            <w:tcW w:type="dxa" w:w="2351"/>
          </w:tcPr>
          <w:p>
            <w:r>
              <w:t>Cảnh cáo, phạt tiền</w:t>
            </w:r>
          </w:p>
        </w:tc>
        <w:tc>
          <w:tcPr>
            <w:tcW w:type="dxa" w:w="2351"/>
          </w:tcPr>
          <w:p>
            <w:r>
              <w:t>1.500.000</w:t>
            </w:r>
          </w:p>
        </w:tc>
      </w:tr>
      <w:tr>
        <w:tc>
          <w:tcPr>
            <w:tcW w:type="dxa" w:w="2351"/>
          </w:tcPr>
          <w:p>
            <w:r>
              <w:t>Mất thẻ lần ba trở lên</w:t>
            </w:r>
          </w:p>
        </w:tc>
        <w:tc>
          <w:tcPr>
            <w:tcW w:type="dxa" w:w="2351"/>
          </w:tcPr>
          <w:p>
            <w:r>
              <w:t>3+</w:t>
            </w:r>
          </w:p>
        </w:tc>
        <w:tc>
          <w:tcPr>
            <w:tcW w:type="dxa" w:w="2351"/>
          </w:tcPr>
          <w:p>
            <w:r>
              <w:t>Kỷ luật hành chính, phạt tiền</w:t>
            </w:r>
          </w:p>
        </w:tc>
        <w:tc>
          <w:tcPr>
            <w:tcW w:type="dxa" w:w="2351"/>
          </w:tcPr>
          <w:p>
            <w:r>
              <w:t>2.000.000</w:t>
            </w:r>
          </w:p>
        </w:tc>
      </w:tr>
    </w:tbl>
    <w:p/>
    <w:p>
      <w:pPr>
        <w:pStyle w:val="Heading1"/>
        <w:spacing w:before="280" w:after="120"/>
      </w:pPr>
      <w:r>
        <w:t>VI. ĐIỀU KHOẢN THI HÀNH</w:t>
      </w:r>
    </w:p>
    <w:p>
      <w:pPr>
        <w:spacing w:after="120"/>
      </w:pPr>
      <w:r>
        <w:t>Cơ chế xử phạt này có hiệu lực từ ngày 01/07/2026 và sẽ bãi bỏ mọi quy định trước đó liên quan đến việc xử lý mất thẻ và cho người ngoài mượn thẻ. Ban lãnh đạo công ty có trách nhiệm phổ biến nội dung văn bản này đến toàn thể nhân viên và các bộ phận liên quan. Mọi đề xuất sửa đổi, bổ sung quy định này sẽ được xem xét và quyết định bởi Ban lãnh đạo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