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VSF/26_QT_BAO_HONG_BAO_T</w:t>
      </w:r>
    </w:p>
    <w:p/>
    <w:p>
      <w:pPr>
        <w:jc w:val="center"/>
      </w:pPr>
      <w:r>
        <w:rPr>
          <w:b/>
          <w:sz w:val="28"/>
        </w:rPr>
        <w:t>QUY TRÌNH BÁO HỎNG VÀ BẢO TRÌ SỬA CHỮA THIẾT BỊ VĂN PHÒNG</w:t>
      </w:r>
    </w:p>
    <w:p/>
    <w:p>
      <w:pPr>
        <w:pStyle w:val="Heading1"/>
        <w:spacing w:before="280" w:after="120"/>
      </w:pPr>
      <w:r>
        <w:t>I. PHẠM VI VÀ ĐỐI TƯỢNG ÁP DỤNG</w:t>
      </w:r>
    </w:p>
    <w:p>
      <w:pPr>
        <w:spacing w:after="120"/>
      </w:pPr>
      <w:r>
        <w:t>Quy trình báo hỏng và bảo trì sửa chữa thiết bị văn phòng áp dụng cho toàn bộ nhân viên của Công ty TNHH Công nghệ VSF, bao gồm nhưng không giới hạn ở các phòng ban như Phòng Kỹ thuật, Phòng Hành chính Nhân sự, Phòng Kinh doanh và các phòng ban khác liên quan. Thời gian áp dụng quy trình này bắt đầu từ ngày 01 tháng 07 năm 2026 và được thực hiện trong suốt thời gian hoạt động của công ty. Quy trình này sẽ không áp dụng cho những thiết bị không thuộc sở hữu của công ty hoặc những thiết bị được cấp cho nhân viên có thỏa thuận riêng về bảo trì, sửa chữa. Các trường hợp ngoại lệ sẽ được xem xét và phê duyệt bởi Giám đốc Điều hành.</w:t>
      </w:r>
    </w:p>
    <w:p>
      <w:pPr>
        <w:pStyle w:val="Heading1"/>
        <w:spacing w:before="280" w:after="120"/>
      </w:pPr>
      <w:r>
        <w:t>II. ĐỊNH NGHĨA VÀ GIẢI THÍCH THUẬT NGỮ</w:t>
      </w:r>
    </w:p>
    <w:p>
      <w:pPr>
        <w:pStyle w:val="ListNumber"/>
        <w:spacing w:after="60"/>
      </w:pPr>
      <w:r>
        <w:t>1. Thiết bị văn phòng: Là các công cụ, máy móc và dụng cụ được sử dụng trong môi trường làm việc tại công ty, bao gồm máy tính, máy in, máy photocopy, và các thiết bị điện tử khác.</w:t>
      </w:r>
    </w:p>
    <w:p>
      <w:pPr>
        <w:pStyle w:val="ListNumber"/>
        <w:spacing w:after="60"/>
      </w:pPr>
      <w:r>
        <w:t>2. Báo hỏng: Là hành động thông báo về tình trạng không còn hoạt động bình thường của thiết bị văn phòng, bao gồm việc ghi nhận và mô tả chi tiết vấn đề gặp phải.</w:t>
      </w:r>
    </w:p>
    <w:p>
      <w:pPr>
        <w:pStyle w:val="ListNumber"/>
        <w:spacing w:after="60"/>
      </w:pPr>
      <w:r>
        <w:t>3. Bảo trì: Là hoạt động kiểm tra, sửa chữa hoặc thay thế các bộ phận của thiết bị văn phòng nhằm đảm bảo thiết bị hoạt động một cách hiệu quả và an toàn.</w:t>
      </w:r>
    </w:p>
    <w:p>
      <w:pPr>
        <w:pStyle w:val="ListNumber"/>
        <w:spacing w:after="60"/>
      </w:pPr>
      <w:r>
        <w:t>4. SLA (Service Level Agreement): Là thỏa thuận về mức độ dịch vụ giữa các bên liên quan, trong đó quy định thời gian và chất lượng dịch vụ cho việc sửa chữa và bảo trì thiết bị văn phòng.</w:t>
      </w:r>
    </w:p>
    <w:p>
      <w:pPr>
        <w:pStyle w:val="ListNumber"/>
        <w:spacing w:after="60"/>
      </w:pPr>
      <w:r>
        <w:t>5. Kiểm kê: Là hoạt động ghi nhận và đánh giá tình trạng, số lượng của các thiết bị văn phòng nhằm theo dõi và quản lý tài sản công ty.</w:t>
      </w:r>
    </w:p>
    <w:p>
      <w:pPr>
        <w:pStyle w:val="ListNumber"/>
        <w:spacing w:after="60"/>
      </w:pPr>
      <w:r>
        <w:t>6. Quy trình gửi sửa bên ngoài: Là các bước thực hiện khi cần phải gửi thiết bị văn phòng ra bên ngoài để sửa chữa, bao gồm việc lựa chọn nhà cung cấp dịch vụ, lập hợp đồng và theo dõi tiến độ sửa chữa.</w:t>
      </w:r>
    </w:p>
    <w:p>
      <w:pPr>
        <w:pStyle w:val="Heading1"/>
        <w:spacing w:before="280" w:after="120"/>
      </w:pPr>
      <w:r>
        <w:t>III. NỘI DUNG QUY ĐỊNH / QUY TRÌNH CHI TIẾT</w:t>
      </w:r>
    </w:p>
    <w:p>
      <w:pPr>
        <w:pStyle w:val="Heading2"/>
        <w:spacing w:before="200" w:after="80"/>
      </w:pPr>
      <w:r>
        <w:t>3.1. Quy trình báo hỏng thiết bị</w:t>
      </w:r>
    </w:p>
    <w:p>
      <w:pPr>
        <w:pStyle w:val="ListBullet"/>
        <w:spacing w:after="60"/>
      </w:pPr>
      <w:r>
        <w:t>Nhân viên phát hiện thiết bị hỏng sẽ thực hiện báo hỏng qua hệ thống trực tuyến hoặc bằng giấy tờ (form báo hỏng offline).</w:t>
      </w:r>
    </w:p>
    <w:p>
      <w:pPr>
        <w:pStyle w:val="ListBullet"/>
        <w:spacing w:after="60"/>
      </w:pPr>
      <w:r>
        <w:t>Form báo hỏng cần cung cấp thông tin chi tiết như tên thiết bị, mô tả vấn đề, thời gian phát hiện, và người báo hỏng.</w:t>
      </w:r>
    </w:p>
    <w:p>
      <w:pPr>
        <w:pStyle w:val="ListBullet"/>
        <w:spacing w:after="60"/>
      </w:pPr>
      <w:r>
        <w:t>Hệ thống trực tuyến sẽ tự động ghi nhận thời gian báo hỏng và phân loại theo mức độ ưu tiên.</w:t>
      </w:r>
    </w:p>
    <w:p>
      <w:pPr>
        <w:pStyle w:val="Heading2"/>
        <w:spacing w:before="200" w:after="80"/>
      </w:pPr>
      <w:r>
        <w:t>3.2. Phân loại và xử lý báo hỏng</w:t>
      </w:r>
    </w:p>
    <w:p>
      <w:pPr>
        <w:pStyle w:val="ListBullet"/>
        <w:spacing w:after="60"/>
      </w:pPr>
      <w:r>
        <w:t>Tất cả báo hỏng sẽ được phân loại thành ba mức độ ưu tiên: Cao, Trung bình, và Thấp.</w:t>
      </w:r>
    </w:p>
    <w:p>
      <w:pPr>
        <w:pStyle w:val="ListBullet"/>
        <w:spacing w:after="60"/>
      </w:pPr>
      <w:r>
        <w:t>Thời gian xử lý cho từng mức độ ưu tiên sẽ được quy định theo SLA như sau:</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Mức độ ưu tiên</w:t>
            </w:r>
          </w:p>
        </w:tc>
        <w:tc>
          <w:tcPr>
            <w:tcW w:type="dxa" w:w="3135"/>
          </w:tcPr>
          <w:p>
            <w:r>
              <w:rPr>
                <w:b/>
              </w:rPr>
              <w:t>Thời gian xử lý</w:t>
            </w:r>
          </w:p>
        </w:tc>
        <w:tc>
          <w:tcPr>
            <w:tcW w:type="dxa" w:w="3135"/>
          </w:tcPr>
          <w:p>
            <w:r>
              <w:rPr>
                <w:b/>
              </w:rPr>
              <w:t>Ghi chú</w:t>
            </w:r>
          </w:p>
        </w:tc>
      </w:tr>
      <w:tr>
        <w:tc>
          <w:tcPr>
            <w:tcW w:type="dxa" w:w="3135"/>
          </w:tcPr>
          <w:p>
            <w:r>
              <w:t>Cao</w:t>
            </w:r>
          </w:p>
        </w:tc>
        <w:tc>
          <w:tcPr>
            <w:tcW w:type="dxa" w:w="3135"/>
          </w:tcPr>
          <w:p>
            <w:r>
              <w:t>4 giờ</w:t>
            </w:r>
          </w:p>
        </w:tc>
        <w:tc>
          <w:tcPr>
            <w:tcW w:type="dxa" w:w="3135"/>
          </w:tcPr>
          <w:p>
            <w:r>
              <w:t>Thiết bị quan trọng, ảnh hưởng đến công việc</w:t>
            </w:r>
          </w:p>
        </w:tc>
      </w:tr>
      <w:tr>
        <w:tc>
          <w:tcPr>
            <w:tcW w:type="dxa" w:w="3135"/>
          </w:tcPr>
          <w:p>
            <w:r>
              <w:t>Trung bình</w:t>
            </w:r>
          </w:p>
        </w:tc>
        <w:tc>
          <w:tcPr>
            <w:tcW w:type="dxa" w:w="3135"/>
          </w:tcPr>
          <w:p>
            <w:r>
              <w:t>1 ngày</w:t>
            </w:r>
          </w:p>
        </w:tc>
        <w:tc>
          <w:tcPr>
            <w:tcW w:type="dxa" w:w="3135"/>
          </w:tcPr>
          <w:p>
            <w:r>
              <w:t>Thiết bị cần thiết nhưng không gấp</w:t>
            </w:r>
          </w:p>
        </w:tc>
      </w:tr>
      <w:tr>
        <w:tc>
          <w:tcPr>
            <w:tcW w:type="dxa" w:w="3135"/>
          </w:tcPr>
          <w:p>
            <w:r>
              <w:t>Thấp</w:t>
            </w:r>
          </w:p>
        </w:tc>
        <w:tc>
          <w:tcPr>
            <w:tcW w:type="dxa" w:w="3135"/>
          </w:tcPr>
          <w:p>
            <w:r>
              <w:t>3 ngày</w:t>
            </w:r>
          </w:p>
        </w:tc>
        <w:tc>
          <w:tcPr>
            <w:tcW w:type="dxa" w:w="3135"/>
          </w:tcPr>
          <w:p>
            <w:r>
              <w:t>Thiết bị ít quan trọng</w:t>
            </w:r>
          </w:p>
        </w:tc>
      </w:tr>
    </w:tbl>
    <w:p/>
    <w:p>
      <w:pPr>
        <w:pStyle w:val="ListBullet"/>
        <w:spacing w:after="60"/>
      </w:pPr>
      <w:r>
        <w:t>Nhân viên IT sẽ kiểm tra và xác nhận tình trạng thiết bị trong vòng 2 giờ kể từ khi nhận được thông báo báo hỏng.</w:t>
      </w:r>
    </w:p>
    <w:p>
      <w:pPr>
        <w:pStyle w:val="Heading2"/>
        <w:spacing w:before="200" w:after="80"/>
      </w:pPr>
      <w:r>
        <w:t>3.3. Quy trình bảo trì và sửa chữa</w:t>
      </w:r>
    </w:p>
    <w:p>
      <w:pPr>
        <w:pStyle w:val="ListBullet"/>
        <w:spacing w:after="60"/>
      </w:pPr>
      <w:r>
        <w:t>Nhân viên IT sẽ tiến hành sửa chữa tại chỗ nếu có thể, nếu không sẽ lập báo cáo gửi sửa chữa bên ngoài.</w:t>
      </w:r>
    </w:p>
    <w:p>
      <w:pPr>
        <w:pStyle w:val="ListBullet"/>
        <w:spacing w:after="60"/>
      </w:pPr>
      <w:r>
        <w:t>Quy trình gửi sửa bên ngoài bao gồm chọn nhà cung cấp dịch vụ, lập hợp đồng, và theo dõi tiến độ sửa chữa.</w:t>
      </w:r>
    </w:p>
    <w:p>
      <w:pPr>
        <w:pStyle w:val="ListBullet"/>
        <w:spacing w:after="60"/>
      </w:pPr>
      <w:r>
        <w:t>Sau khi thiết bị được sửa chữa, nhân viên IT sẽ kiểm tra và cập nhật lịch sử bảo trì vào hệ thống.</w:t>
      </w:r>
    </w:p>
    <w:p>
      <w:pPr>
        <w:pStyle w:val="Heading2"/>
        <w:spacing w:before="200" w:after="80"/>
      </w:pPr>
      <w:r>
        <w:t>3.4. Lưu trữ lịch sử bảo trì</w:t>
      </w:r>
    </w:p>
    <w:p>
      <w:pPr>
        <w:pStyle w:val="ListBullet"/>
        <w:spacing w:after="60"/>
      </w:pPr>
      <w:r>
        <w:t>Tất cả các lần bảo trì và sửa chữa sẽ được lưu trữ trong hệ thống quản lý tài sản của công ty.</w:t>
      </w:r>
    </w:p>
    <w:p>
      <w:pPr>
        <w:pStyle w:val="ListBullet"/>
        <w:spacing w:after="60"/>
      </w:pPr>
      <w:r>
        <w:t>Thông tin ghi nhận bao gồm thời gian sửa chữa, tên thiết bị, mô tả sự cố, và nhà cung cấp dịch vụ.</w:t>
      </w:r>
    </w:p>
    <w:p>
      <w:pPr>
        <w:pStyle w:val="ListBullet"/>
        <w:spacing w:after="60"/>
      </w:pPr>
      <w:r>
        <w:t>Lịch sử bảo trì sẽ được sử dụng để phân tích và lập kế hoạch bảo trì định kỳ cho các thiết bị văn phòng.</w:t>
      </w:r>
    </w:p>
    <w:p>
      <w:pPr>
        <w:pStyle w:val="Heading2"/>
        <w:spacing w:before="200" w:after="80"/>
      </w:pPr>
      <w:r>
        <w:t>3.5. Kiểm kê thiết bị sau sửa chữa</w:t>
      </w:r>
    </w:p>
    <w:p>
      <w:pPr>
        <w:pStyle w:val="ListBullet"/>
        <w:spacing w:after="60"/>
      </w:pPr>
      <w:r>
        <w:t>Sau khi thiết bị được sửa chữa, nhân viên IT sẽ tiến hành kiểm kê lại tình trạng thiết bị.</w:t>
      </w:r>
    </w:p>
    <w:p>
      <w:pPr>
        <w:pStyle w:val="ListBullet"/>
        <w:spacing w:after="60"/>
      </w:pPr>
      <w:r>
        <w:t>Kết quả kiểm kê sẽ được ghi nhận và báo cáo lên cấp trên để có biện pháp xử lý nếu cần thiết.</w:t>
      </w:r>
    </w:p>
    <w:p>
      <w:pPr>
        <w:pStyle w:val="ListBullet"/>
        <w:spacing w:after="60"/>
      </w:pPr>
      <w:r>
        <w:t>Kiểm kê sẽ được thực hiện định kỳ mỗi quý để đảm bảo tất cả thiết bị đều hoạt động tốt.</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Vai trò/Bộ phận</w:t>
            </w:r>
          </w:p>
        </w:tc>
        <w:tc>
          <w:tcPr>
            <w:tcW w:type="dxa" w:w="3135"/>
          </w:tcPr>
          <w:p>
            <w:r>
              <w:rPr>
                <w:b/>
              </w:rPr>
              <w:t>Trách nhiệm</w:t>
            </w:r>
          </w:p>
        </w:tc>
        <w:tc>
          <w:tcPr>
            <w:tcW w:type="dxa" w:w="3135"/>
          </w:tcPr>
          <w:p>
            <w:r>
              <w:rPr>
                <w:b/>
              </w:rPr>
              <w:t>Ghi chú</w:t>
            </w:r>
          </w:p>
        </w:tc>
      </w:tr>
      <w:tr>
        <w:tc>
          <w:tcPr>
            <w:tcW w:type="dxa" w:w="3135"/>
          </w:tcPr>
          <w:p>
            <w:r>
              <w:t>Nhân viên</w:t>
            </w:r>
          </w:p>
        </w:tc>
        <w:tc>
          <w:tcPr>
            <w:tcW w:type="dxa" w:w="3135"/>
          </w:tcPr>
          <w:p>
            <w:r>
              <w:t>Thực hiện báo hỏng</w:t>
            </w:r>
          </w:p>
        </w:tc>
        <w:tc>
          <w:tcPr>
            <w:tcW w:type="dxa" w:w="3135"/>
          </w:tcPr>
          <w:p>
            <w:r>
              <w:t>Cung cấp thông tin chính xác</w:t>
            </w:r>
          </w:p>
        </w:tc>
      </w:tr>
      <w:tr>
        <w:tc>
          <w:tcPr>
            <w:tcW w:type="dxa" w:w="3135"/>
          </w:tcPr>
          <w:p>
            <w:r>
              <w:t>Nhân viên IT</w:t>
            </w:r>
          </w:p>
        </w:tc>
        <w:tc>
          <w:tcPr>
            <w:tcW w:type="dxa" w:w="3135"/>
          </w:tcPr>
          <w:p>
            <w:r>
              <w:t>Kiểm tra và xử lý báo hỏng</w:t>
            </w:r>
          </w:p>
        </w:tc>
        <w:tc>
          <w:tcPr>
            <w:tcW w:type="dxa" w:w="3135"/>
          </w:tcPr>
          <w:p>
            <w:r>
              <w:t>Đảm bảo thiết bị hoạt động</w:t>
            </w:r>
          </w:p>
        </w:tc>
      </w:tr>
      <w:tr>
        <w:tc>
          <w:tcPr>
            <w:tcW w:type="dxa" w:w="3135"/>
          </w:tcPr>
          <w:p>
            <w:r>
              <w:t>Quản lý phòng ban</w:t>
            </w:r>
          </w:p>
        </w:tc>
        <w:tc>
          <w:tcPr>
            <w:tcW w:type="dxa" w:w="3135"/>
          </w:tcPr>
          <w:p>
            <w:r>
              <w:t>Theo dõi và báo cáo</w:t>
            </w:r>
          </w:p>
        </w:tc>
        <w:tc>
          <w:tcPr>
            <w:tcW w:type="dxa" w:w="3135"/>
          </w:tcPr>
          <w:p>
            <w:r>
              <w:t>Đảm bảo quy trình được thực hiện</w:t>
            </w:r>
          </w:p>
        </w:tc>
      </w:tr>
      <w:tr>
        <w:tc>
          <w:tcPr>
            <w:tcW w:type="dxa" w:w="3135"/>
          </w:tcPr>
          <w:p>
            <w:r>
              <w:t>Giám đốc Điều hành</w:t>
            </w:r>
          </w:p>
        </w:tc>
        <w:tc>
          <w:tcPr>
            <w:tcW w:type="dxa" w:w="3135"/>
          </w:tcPr>
          <w:p>
            <w:r>
              <w:t>Phê duyệt sửa chữa bên ngoài</w:t>
            </w:r>
          </w:p>
        </w:tc>
        <w:tc>
          <w:tcPr>
            <w:tcW w:type="dxa" w:w="3135"/>
          </w:tcPr>
          <w:p>
            <w:r>
              <w:t>Đảm bảo chất lượng dịch vụ</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Không báo hỏng kịp thời</w:t>
            </w:r>
          </w:p>
        </w:tc>
        <w:tc>
          <w:tcPr>
            <w:tcW w:type="dxa" w:w="2351"/>
          </w:tcPr>
          <w:p>
            <w:r>
              <w:t>1 lần</w:t>
            </w:r>
          </w:p>
        </w:tc>
        <w:tc>
          <w:tcPr>
            <w:tcW w:type="dxa" w:w="2351"/>
          </w:tcPr>
          <w:p>
            <w:r>
              <w:t>Nhắc nhở</w:t>
            </w:r>
          </w:p>
        </w:tc>
        <w:tc>
          <w:tcPr>
            <w:tcW w:type="dxa" w:w="2351"/>
          </w:tcPr>
          <w:p>
            <w:r>
              <w:t>500.000</w:t>
            </w:r>
          </w:p>
        </w:tc>
      </w:tr>
      <w:tr>
        <w:tc>
          <w:tcPr>
            <w:tcW w:type="dxa" w:w="2351"/>
          </w:tcPr>
          <w:p>
            <w:r>
              <w:t>Không cung cấp thông tin chính xác</w:t>
            </w:r>
          </w:p>
        </w:tc>
        <w:tc>
          <w:tcPr>
            <w:tcW w:type="dxa" w:w="2351"/>
          </w:tcPr>
          <w:p>
            <w:r>
              <w:t>2 lần</w:t>
            </w:r>
          </w:p>
        </w:tc>
        <w:tc>
          <w:tcPr>
            <w:tcW w:type="dxa" w:w="2351"/>
          </w:tcPr>
          <w:p>
            <w:r>
              <w:t>Cảnh cáo</w:t>
            </w:r>
          </w:p>
        </w:tc>
        <w:tc>
          <w:tcPr>
            <w:tcW w:type="dxa" w:w="2351"/>
          </w:tcPr>
          <w:p>
            <w:r>
              <w:t>1.000.000</w:t>
            </w:r>
          </w:p>
        </w:tc>
      </w:tr>
      <w:tr>
        <w:tc>
          <w:tcPr>
            <w:tcW w:type="dxa" w:w="2351"/>
          </w:tcPr>
          <w:p>
            <w:r>
              <w:t>Không thực hiện kiểm kê</w:t>
            </w:r>
          </w:p>
        </w:tc>
        <w:tc>
          <w:tcPr>
            <w:tcW w:type="dxa" w:w="2351"/>
          </w:tcPr>
          <w:p>
            <w:r>
              <w:t>3 lần</w:t>
            </w:r>
          </w:p>
        </w:tc>
        <w:tc>
          <w:tcPr>
            <w:tcW w:type="dxa" w:w="2351"/>
          </w:tcPr>
          <w:p>
            <w:r>
              <w:t>Đình chỉ công việc</w:t>
            </w:r>
          </w:p>
        </w:tc>
        <w:tc>
          <w:tcPr>
            <w:tcW w:type="dxa" w:w="2351"/>
          </w:tcPr>
          <w:p>
            <w:r>
              <w:t>3.000.000</w:t>
            </w:r>
          </w:p>
        </w:tc>
      </w:tr>
      <w:tr>
        <w:tc>
          <w:tcPr>
            <w:tcW w:type="dxa" w:w="2351"/>
          </w:tcPr>
          <w:p>
            <w:r>
              <w:t>Gây hư hỏng thiết bị</w:t>
            </w:r>
          </w:p>
        </w:tc>
        <w:tc>
          <w:tcPr>
            <w:tcW w:type="dxa" w:w="2351"/>
          </w:tcPr>
          <w:p>
            <w:r>
              <w:t>1 lần</w:t>
            </w:r>
          </w:p>
        </w:tc>
        <w:tc>
          <w:tcPr>
            <w:tcW w:type="dxa" w:w="2351"/>
          </w:tcPr>
          <w:p>
            <w:r>
              <w:t>Truy cứu trách nhiệm</w:t>
            </w:r>
          </w:p>
        </w:tc>
        <w:tc>
          <w:tcPr>
            <w:tcW w:type="dxa" w:w="2351"/>
          </w:tcPr>
          <w:p>
            <w:r>
              <w:t>5.000.000</w:t>
            </w:r>
          </w:p>
        </w:tc>
      </w:tr>
    </w:tbl>
    <w:p/>
    <w:p>
      <w:pPr>
        <w:pStyle w:val="Heading1"/>
        <w:spacing w:before="280" w:after="120"/>
      </w:pPr>
      <w:r>
        <w:t>VI. ĐIỀU KHOẢN THI HÀNH</w:t>
      </w:r>
    </w:p>
    <w:p>
      <w:pPr>
        <w:spacing w:after="120"/>
      </w:pPr>
      <w:r>
        <w:t>Quy trình này có hiệu lực từ ngày 01 tháng 07 năm 2026 và thay thế tất cả các văn bản quy định trước đó liên quan đến báo hỏng và bảo trì sửa chữa thiết bị văn phòng. Trách nhiệm phổ biến quy trình này thuộc về Phòng Hành chính Nhân sự. Các bộ phận đều có trách nhiệm thực hiện và tuân thủ quy trình. Quy trình sẽ được xem xét và cập nhật định kỳ mỗi năm hoặc khi có thay đổi lớn trong quy trình làm việc hoặc công nghệ.</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