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VSF/30_QD_LAM_VIEC_TU_XA</w:t>
      </w:r>
    </w:p>
    <w:p/>
    <w:p>
      <w:pPr>
        <w:jc w:val="center"/>
      </w:pPr>
      <w:r>
        <w:rPr>
          <w:b/>
          <w:sz w:val="28"/>
        </w:rPr>
        <w:t>QUY ĐỊNH LÀM VIỆC TỪ XA (WORK FROM HOME)</w:t>
      </w:r>
    </w:p>
    <w:p/>
    <w:p>
      <w:pPr>
        <w:pStyle w:val="Heading1"/>
        <w:spacing w:before="280" w:after="120"/>
      </w:pPr>
      <w:r>
        <w:t>I. PHẠM VI VÀ ĐỐI TƯỢNG ÁP DỤNG</w:t>
      </w:r>
    </w:p>
    <w:p>
      <w:pPr>
        <w:spacing w:after="120"/>
      </w:pPr>
      <w:r>
        <w:t>Quy định làm việc từ xa (Work From Home - WFH) của Công ty TNHH Công nghệ VSF áp dụng cho toàn bộ nhân viên trong công ty, bao gồm cả nhân viên chính thức, nhân viên thử việc và nhân viên hợp đồng. Quy định này có hiệu lực từ ngày 01 tháng 07 năm 2026 và được áp dụng trong các trường hợp cần thiết như tình hình dịch bệnh, thiên tai, hoặc khi nhân viên có nhu cầu làm việc tại nhà để tăng cường hiệu suất công việc.</w:t>
      </w:r>
    </w:p>
    <w:p>
      <w:pPr>
        <w:spacing w:after="120"/>
      </w:pPr>
      <w:r>
        <w:t>Phạm vi thực hiện là toàn bộ khu vực làm việc của nhân viên, bao gồm cả không gian làm việc tại nhà và các địa điểm khác mà nhân viên có thể lựa chọn. Thời gian làm việc từ xa là từ thứ Hai đến thứ Sáu hàng tuần, tối đa là 3 ngày/tuần và 10 ngày/tháng.</w:t>
      </w:r>
    </w:p>
    <w:p>
      <w:pPr>
        <w:spacing w:after="120"/>
      </w:pPr>
      <w:r>
        <w:t>Đối tượng ngoại lệ không áp dụng quy định này gồm các bộ phận cần phải có mặt tại văn phòng để thực hiện các công việc trực tiếp, như bộ phận lễ tân, bảo trì thiết bị, và nhân viên quản lý dự án cần làm việc trực tiếp với khách hàng.</w:t>
      </w:r>
    </w:p>
    <w:p>
      <w:pPr>
        <w:pStyle w:val="Heading1"/>
        <w:spacing w:before="280" w:after="120"/>
      </w:pPr>
      <w:r>
        <w:t>II. ĐỊNH NGHĨA VÀ GIẢI THÍCH THUẬT NGỮ</w:t>
      </w:r>
    </w:p>
    <w:p>
      <w:pPr>
        <w:pStyle w:val="ListNumber"/>
        <w:spacing w:after="60"/>
      </w:pPr>
      <w:r>
        <w:t>1. Làm việc từ xa (Work From Home - WFH): Là hình thức làm việc mà nhân viên thực hiện công việc từ không gian làm việc cá nhân, không cần phải có mặt tại văn phòng công ty.</w:t>
      </w:r>
    </w:p>
    <w:p>
      <w:pPr>
        <w:pStyle w:val="ListNumber"/>
        <w:spacing w:after="60"/>
      </w:pPr>
      <w:r>
        <w:t>2. Hiệu suất làm việc: Là mức độ hoàn thành công việc được giao trong một khoảng thời gian nhất định, thường được đánh giá dựa trên kết quả đầu ra và sự tuân thủ thời gian.</w:t>
      </w:r>
    </w:p>
    <w:p>
      <w:pPr>
        <w:pStyle w:val="ListNumber"/>
        <w:spacing w:after="60"/>
      </w:pPr>
      <w:r>
        <w:t>3. Kết nối internet: Là khả năng kết nối của thiết bị với mạng internet, điều kiện cần thiết để nhân viên có thể truy cập vào hệ thống làm việc, trao đổi thông tin và thực hiện các nhiệm vụ từ xa.</w:t>
      </w:r>
    </w:p>
    <w:p>
      <w:pPr>
        <w:pStyle w:val="ListNumber"/>
        <w:spacing w:after="60"/>
      </w:pPr>
      <w:r>
        <w:t>4. Không gian làm việc: Là khu vực mà nhân viên lựa chọn để làm việc từ xa, bao gồm cả phòng làm việc tại nhà hoặc bất kỳ địa điểm nào khác mà nhân viên có thể làm việc một cách hiệu quả và không bị phân tâm.</w:t>
      </w:r>
    </w:p>
    <w:p>
      <w:pPr>
        <w:pStyle w:val="ListNumber"/>
        <w:spacing w:after="60"/>
      </w:pPr>
      <w:r>
        <w:t>5. Quy trình đăng ký WFH: Là các bước cần thực hiện để nhân viên xin phép làm việc từ xa, bao gồm việc thông báo cho quản lý, điền vào mẫu đăng ký, và chờ đợi sự phê duyệt.</w:t>
      </w:r>
    </w:p>
    <w:p>
      <w:pPr>
        <w:pStyle w:val="ListNumber"/>
        <w:spacing w:after="60"/>
      </w:pPr>
      <w:r>
        <w:t>6. Trách nhiệm của nhân viên: Là các nghĩa vụ mà nhân viên cần thực hiện khi làm việc từ xa, bao gồm việc đảm bảo hoàn thành công việc, duy trì liên lạc với đồng nghiệp và quản lý, cũng như tuân thủ các quy định của công ty.</w:t>
      </w:r>
    </w:p>
    <w:p>
      <w:pPr>
        <w:pStyle w:val="Heading1"/>
        <w:spacing w:before="280" w:after="120"/>
      </w:pPr>
      <w:r>
        <w:t>III. NỘI DUNG QUY ĐỊNH / QUY TRÌNH CHI TIẾT</w:t>
      </w:r>
    </w:p>
    <w:p>
      <w:pPr>
        <w:pStyle w:val="Heading2"/>
        <w:spacing w:before="200" w:after="80"/>
      </w:pPr>
      <w:r>
        <w:t>3.1. Đối tượng được phép làm việc từ xa</w:t>
      </w:r>
    </w:p>
    <w:p>
      <w:pPr>
        <w:pStyle w:val="ListBullet"/>
        <w:spacing w:after="60"/>
      </w:pPr>
      <w:r>
        <w:t>Tất cả nhân viên đã hoàn thành thời gian thử việc và có kết quả làm việc tốt.</w:t>
      </w:r>
    </w:p>
    <w:p>
      <w:pPr>
        <w:pStyle w:val="ListBullet"/>
        <w:spacing w:after="60"/>
      </w:pPr>
      <w:r>
        <w:t>Nhân viên có lý do chính đáng để yêu cầu làm việc từ xa, ví dụ như tình trạng sức khỏe, việc gia đình hoặc các lý do cá nhân.</w:t>
      </w:r>
    </w:p>
    <w:p>
      <w:pPr>
        <w:pStyle w:val="ListBullet"/>
        <w:spacing w:after="60"/>
      </w:pPr>
      <w:r>
        <w:t>Nhân viên cần phải được sự đồng ý của quản lý trực tiếp trước khi thực hiện làm việc từ xa.</w:t>
      </w:r>
    </w:p>
    <w:p>
      <w:pPr>
        <w:pStyle w:val="Heading2"/>
        <w:spacing w:before="200" w:after="80"/>
      </w:pPr>
      <w:r>
        <w:t>3.2. Số ngày làm việc từ xa tối đa</w:t>
      </w:r>
    </w:p>
    <w:p>
      <w:pPr>
        <w:pStyle w:val="ListBullet"/>
        <w:spacing w:after="60"/>
      </w:pPr>
      <w:r>
        <w:t>Nhân viên có thể làm việc từ xa tối đa 3 ngày trong một tuần.</w:t>
      </w:r>
    </w:p>
    <w:p>
      <w:pPr>
        <w:pStyle w:val="ListBullet"/>
        <w:spacing w:after="60"/>
      </w:pPr>
      <w:r>
        <w:t>Tổng số ngày làm việc từ xa không được vượt quá 10 ngày trong một tháng.</w:t>
      </w:r>
    </w:p>
    <w:p>
      <w:pPr>
        <w:pStyle w:val="ListBullet"/>
        <w:spacing w:after="60"/>
      </w:pPr>
      <w:r>
        <w:t>Các ngày làm việc từ xa phải được thông báo và được sự đồng ý của quản lý trước ít nhất 2 ngày.</w:t>
      </w:r>
    </w:p>
    <w:p>
      <w:pPr>
        <w:pStyle w:val="Heading2"/>
        <w:spacing w:before="200" w:after="80"/>
      </w:pPr>
      <w:r>
        <w:t>3.3. Điều kiện để được làm việc từ xa</w:t>
      </w:r>
    </w:p>
    <w:p>
      <w:pPr>
        <w:pStyle w:val="ListBullet"/>
        <w:spacing w:after="60"/>
      </w:pPr>
      <w:r>
        <w:t>Nhân viên cần có thiết bị làm việc đáp ứng yêu cầu như máy tính cá nhân, điện thoại thông minh, và các phần mềm cần thiết.</w:t>
      </w:r>
    </w:p>
    <w:p>
      <w:pPr>
        <w:pStyle w:val="ListBullet"/>
        <w:spacing w:after="60"/>
      </w:pPr>
      <w:r>
        <w:t>Kết nối internet phải ổn định với tốc độ tối thiểu 10Mbps để đảm bảo công việc không bị gián đoạn.</w:t>
      </w:r>
    </w:p>
    <w:p>
      <w:pPr>
        <w:pStyle w:val="ListBullet"/>
        <w:spacing w:after="60"/>
      </w:pPr>
      <w:r>
        <w:t>Không gian làm việc cần yên tĩnh, đủ ánh sáng và đảm bảo không bị phân tâm trong suốt thời gian làm việc.</w:t>
      </w:r>
    </w:p>
    <w:p>
      <w:pPr>
        <w:pStyle w:val="Heading2"/>
        <w:spacing w:before="200" w:after="80"/>
      </w:pPr>
      <w:r>
        <w:t>3.4. Quy trình đăng ký làm việc từ xa</w:t>
      </w:r>
    </w:p>
    <w:p>
      <w:pPr>
        <w:pStyle w:val="ListBullet"/>
        <w:spacing w:after="60"/>
      </w:pPr>
      <w:r>
        <w:t>Nhân viên điền vào mẫu đơn đăng ký làm việc từ xa và gửi cho quản lý.</w:t>
      </w:r>
    </w:p>
    <w:p>
      <w:pPr>
        <w:pStyle w:val="ListBullet"/>
        <w:spacing w:after="60"/>
      </w:pPr>
      <w:r>
        <w:t>Quản lý xem xét và phê duyệt đơn đăng ký trong vòng 24 giờ làm việc.</w:t>
      </w:r>
    </w:p>
    <w:p>
      <w:pPr>
        <w:pStyle w:val="ListBullet"/>
        <w:spacing w:after="60"/>
      </w:pPr>
      <w:r>
        <w:t>Nhân viên cần thông báo lại cho quản lý nếu có sự thay đổi về kế hoạch làm việc từ xa.</w:t>
      </w:r>
    </w:p>
    <w:p>
      <w:pPr>
        <w:pStyle w:val="Heading2"/>
        <w:spacing w:before="200" w:after="80"/>
      </w:pPr>
      <w:r>
        <w:t>3.5. Kiểm soát hiệu suất làm việc từ xa</w:t>
      </w:r>
    </w:p>
    <w:p>
      <w:pPr>
        <w:pStyle w:val="ListBullet"/>
        <w:spacing w:after="60"/>
      </w:pPr>
      <w:r>
        <w:t>Nhân viên phải tham gia đầy đủ các cuộc họp online theo lịch trình đã định.</w:t>
      </w:r>
    </w:p>
    <w:p>
      <w:pPr>
        <w:pStyle w:val="ListBullet"/>
        <w:spacing w:after="60"/>
      </w:pPr>
      <w:r>
        <w:t>Cần gửi báo cáo công việc hàng tuần cho quản lý để theo dõi tiến độ.</w:t>
      </w:r>
    </w:p>
    <w:p>
      <w:pPr>
        <w:pStyle w:val="ListBullet"/>
        <w:spacing w:after="60"/>
      </w:pPr>
      <w:r>
        <w:t>Công ty có quyền tiến hành các cuộc kiểm tra ngẫu nhiên để đánh giá hiệu suất làm việc của nhân viên.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CỘT1</w:t>
            </w:r>
          </w:p>
        </w:tc>
        <w:tc>
          <w:tcPr>
            <w:tcW w:type="dxa" w:w="3135"/>
          </w:tcPr>
          <w:p>
            <w:r>
              <w:rPr>
                <w:b/>
              </w:rPr>
              <w:t>CỘT2</w:t>
            </w:r>
          </w:p>
        </w:tc>
        <w:tc>
          <w:tcPr>
            <w:tcW w:type="dxa" w:w="3135"/>
          </w:tcPr>
          <w:p>
            <w:r>
              <w:rPr>
                <w:b/>
              </w:rPr>
              <w:t>CỘT3</w:t>
            </w:r>
          </w:p>
        </w:tc>
      </w:tr>
      <w:tr>
        <w:tc>
          <w:tcPr>
            <w:tcW w:type="dxa" w:w="3135"/>
          </w:tcPr>
          <w:p>
            <w:r>
              <w:t>Tiêu chí</w:t>
            </w:r>
          </w:p>
        </w:tc>
        <w:tc>
          <w:tcPr>
            <w:tcW w:type="dxa" w:w="3135"/>
          </w:tcPr>
          <w:p>
            <w:r>
              <w:t>Nội dung yêu cầu</w:t>
            </w:r>
          </w:p>
        </w:tc>
        <w:tc>
          <w:tcPr>
            <w:tcW w:type="dxa" w:w="3135"/>
          </w:tcPr>
          <w:p>
            <w:r>
              <w:t>Ghi chú</w:t>
            </w:r>
          </w:p>
        </w:tc>
      </w:tr>
      <w:tr>
        <w:tc>
          <w:tcPr>
            <w:tcW w:type="dxa" w:w="3135"/>
          </w:tcPr>
          <w:p>
            <w:r>
              <w:t>Ngày làm việc từ xa tối đa</w:t>
            </w:r>
          </w:p>
        </w:tc>
        <w:tc>
          <w:tcPr>
            <w:tcW w:type="dxa" w:w="3135"/>
          </w:tcPr>
          <w:p>
            <w:r>
              <w:t>3 ngày/tuần</w:t>
            </w:r>
          </w:p>
        </w:tc>
        <w:tc>
          <w:tcPr>
            <w:tcW w:type="dxa" w:w="3135"/>
          </w:tcPr>
          <w:p>
            <w:r>
              <w:t>Phải thông báo trước</w:t>
            </w:r>
          </w:p>
        </w:tc>
      </w:tr>
      <w:tr>
        <w:tc>
          <w:tcPr>
            <w:tcW w:type="dxa" w:w="3135"/>
          </w:tcPr>
          <w:p>
            <w:r>
              <w:t>Số ngày trong tháng</w:t>
            </w:r>
          </w:p>
        </w:tc>
        <w:tc>
          <w:tcPr>
            <w:tcW w:type="dxa" w:w="3135"/>
          </w:tcPr>
          <w:p>
            <w:r>
              <w:t>10 ngày/tháng</w:t>
            </w:r>
          </w:p>
        </w:tc>
        <w:tc>
          <w:tcPr>
            <w:tcW w:type="dxa" w:w="3135"/>
          </w:tcPr>
          <w:p>
            <w:r>
              <w:t>Không quá 10 ngày</w:t>
            </w:r>
          </w:p>
        </w:tc>
      </w:tr>
      <w:tr>
        <w:tc>
          <w:tcPr>
            <w:tcW w:type="dxa" w:w="3135"/>
          </w:tcPr>
          <w:p>
            <w:r>
              <w:t>Thiết bị làm việc</w:t>
            </w:r>
          </w:p>
        </w:tc>
        <w:tc>
          <w:tcPr>
            <w:tcW w:type="dxa" w:w="3135"/>
          </w:tcPr>
          <w:p>
            <w:r>
              <w:t>Máy tính cá nhân, điện thoại thông minh</w:t>
            </w:r>
          </w:p>
        </w:tc>
        <w:tc>
          <w:tcPr>
            <w:tcW w:type="dxa" w:w="3135"/>
          </w:tcPr>
          <w:p>
            <w:r>
              <w:t>Đáp ứng yêu cầu kĩ thuật</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CỘT1</w:t>
            </w:r>
          </w:p>
        </w:tc>
        <w:tc>
          <w:tcPr>
            <w:tcW w:type="dxa" w:w="3135"/>
          </w:tcPr>
          <w:p>
            <w:r>
              <w:rPr>
                <w:b/>
              </w:rPr>
              <w:t>CỘT2</w:t>
            </w:r>
          </w:p>
        </w:tc>
        <w:tc>
          <w:tcPr>
            <w:tcW w:type="dxa" w:w="3135"/>
          </w:tcPr>
          <w:p>
            <w:r>
              <w:rPr>
                <w:b/>
              </w:rPr>
              <w:t>CỘT3</w:t>
            </w:r>
          </w:p>
        </w:tc>
      </w:tr>
      <w:tr>
        <w:tc>
          <w:tcPr>
            <w:tcW w:type="dxa" w:w="3135"/>
          </w:tcPr>
          <w:p>
            <w:r>
              <w:t>Vai trò/Bộ phận</w:t>
            </w:r>
          </w:p>
        </w:tc>
        <w:tc>
          <w:tcPr>
            <w:tcW w:type="dxa" w:w="3135"/>
          </w:tcPr>
          <w:p>
            <w:r>
              <w:t>Trách nhiệm</w:t>
            </w:r>
          </w:p>
        </w:tc>
        <w:tc>
          <w:tcPr>
            <w:tcW w:type="dxa" w:w="3135"/>
          </w:tcPr>
          <w:p>
            <w:r>
              <w:t>Ghi chú</w:t>
            </w:r>
          </w:p>
        </w:tc>
      </w:tr>
      <w:tr>
        <w:tc>
          <w:tcPr>
            <w:tcW w:type="dxa" w:w="3135"/>
          </w:tcPr>
          <w:p>
            <w:r>
              <w:t>Nhân viên</w:t>
            </w:r>
          </w:p>
        </w:tc>
        <w:tc>
          <w:tcPr>
            <w:tcW w:type="dxa" w:w="3135"/>
          </w:tcPr>
          <w:p>
            <w:r>
              <w:t>Hoàn thành công việc đúng hạn</w:t>
            </w:r>
          </w:p>
        </w:tc>
        <w:tc>
          <w:tcPr>
            <w:tcW w:type="dxa" w:w="3135"/>
          </w:tcPr>
          <w:p>
            <w:r>
              <w:t>Cần duy trì liên lạc</w:t>
            </w:r>
          </w:p>
        </w:tc>
      </w:tr>
      <w:tr>
        <w:tc>
          <w:tcPr>
            <w:tcW w:type="dxa" w:w="3135"/>
          </w:tcPr>
          <w:p>
            <w:r>
              <w:t>Quản lý</w:t>
            </w:r>
          </w:p>
        </w:tc>
        <w:tc>
          <w:tcPr>
            <w:tcW w:type="dxa" w:w="3135"/>
          </w:tcPr>
          <w:p>
            <w:r>
              <w:t>Xem xét và phê duyệt đơn WFH</w:t>
            </w:r>
          </w:p>
        </w:tc>
        <w:tc>
          <w:tcPr>
            <w:tcW w:type="dxa" w:w="3135"/>
          </w:tcPr>
          <w:p>
            <w:r>
              <w:t>Đảm bảo sự công bằng</w:t>
            </w:r>
          </w:p>
        </w:tc>
      </w:tr>
      <w:tr>
        <w:tc>
          <w:tcPr>
            <w:tcW w:type="dxa" w:w="3135"/>
          </w:tcPr>
          <w:p>
            <w:r>
              <w:t>Bộ phận IT</w:t>
            </w:r>
          </w:p>
        </w:tc>
        <w:tc>
          <w:tcPr>
            <w:tcW w:type="dxa" w:w="3135"/>
          </w:tcPr>
          <w:p>
            <w:r>
              <w:t>Hỗ trợ kỹ thuật cho nhân viên</w:t>
            </w:r>
          </w:p>
        </w:tc>
        <w:tc>
          <w:tcPr>
            <w:tcW w:type="dxa" w:w="3135"/>
          </w:tcPr>
          <w:p>
            <w:r>
              <w:t>Đảm bảo kết nối và thiết bị</w:t>
            </w:r>
          </w:p>
        </w:tc>
      </w:tr>
      <w:tr>
        <w:tc>
          <w:tcPr>
            <w:tcW w:type="dxa" w:w="3135"/>
          </w:tcPr>
          <w:p>
            <w:r>
              <w:t>Bộ phận Nhân sự</w:t>
            </w:r>
          </w:p>
        </w:tc>
        <w:tc>
          <w:tcPr>
            <w:tcW w:type="dxa" w:w="3135"/>
          </w:tcPr>
          <w:p>
            <w:r>
              <w:t>Giám sát việc thực hiện quy định</w:t>
            </w:r>
          </w:p>
        </w:tc>
        <w:tc>
          <w:tcPr>
            <w:tcW w:type="dxa" w:w="3135"/>
          </w:tcPr>
          <w:p>
            <w:r>
              <w:t>Đảm bảo tính tuân thủ</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CỘT1</w:t>
            </w:r>
          </w:p>
        </w:tc>
        <w:tc>
          <w:tcPr>
            <w:tcW w:type="dxa" w:w="2351"/>
          </w:tcPr>
          <w:p>
            <w:r>
              <w:rPr>
                <w:b/>
              </w:rPr>
              <w:t>CỘT2</w:t>
            </w:r>
          </w:p>
        </w:tc>
        <w:tc>
          <w:tcPr>
            <w:tcW w:type="dxa" w:w="2351"/>
          </w:tcPr>
          <w:p>
            <w:r>
              <w:rPr>
                <w:b/>
              </w:rPr>
              <w:t>CỘT3</w:t>
            </w:r>
          </w:p>
        </w:tc>
        <w:tc>
          <w:tcPr>
            <w:tcW w:type="dxa" w:w="2351"/>
          </w:tcPr>
          <w:p>
            <w:r>
              <w:rPr>
                <w:b/>
              </w:rPr>
            </w:r>
          </w:p>
        </w:tc>
      </w:tr>
      <w:tr>
        <w:tc>
          <w:tcPr>
            <w:tcW w:type="dxa" w:w="2351"/>
          </w:tcPr>
          <w:p>
            <w:r>
              <w:t>Hành vi vi phạm</w:t>
            </w:r>
          </w:p>
        </w:tc>
        <w:tc>
          <w:tcPr>
            <w:tcW w:type="dxa" w:w="2351"/>
          </w:tcPr>
          <w:p>
            <w:r>
              <w:t>Số lần</w:t>
            </w:r>
          </w:p>
        </w:tc>
        <w:tc>
          <w:tcPr>
            <w:tcW w:type="dxa" w:w="2351"/>
          </w:tcPr>
          <w:p>
            <w:r>
              <w:t>Hình thức xử lý</w:t>
            </w:r>
          </w:p>
        </w:tc>
        <w:tc>
          <w:tcPr>
            <w:tcW w:type="dxa" w:w="2351"/>
          </w:tcPr>
          <w:p>
            <w:r>
              <w:t>Mức tiền phạt (VNĐ)</w:t>
            </w:r>
          </w:p>
        </w:tc>
      </w:tr>
      <w:tr>
        <w:tc>
          <w:tcPr>
            <w:tcW w:type="dxa" w:w="2351"/>
          </w:tcPr>
          <w:p>
            <w:r>
              <w:t>Không thông báo trước khi WFH</w:t>
            </w:r>
          </w:p>
        </w:tc>
        <w:tc>
          <w:tcPr>
            <w:tcW w:type="dxa" w:w="2351"/>
          </w:tcPr>
          <w:p>
            <w:r>
              <w:t>1 lần</w:t>
            </w:r>
          </w:p>
        </w:tc>
        <w:tc>
          <w:tcPr>
            <w:tcW w:type="dxa" w:w="2351"/>
          </w:tcPr>
          <w:p>
            <w:r>
              <w:t>Nhắc nhở</w:t>
            </w:r>
          </w:p>
        </w:tc>
        <w:tc>
          <w:tcPr>
            <w:tcW w:type="dxa" w:w="2351"/>
          </w:tcPr>
          <w:p>
            <w:r>
              <w:t>500.000</w:t>
            </w:r>
          </w:p>
        </w:tc>
      </w:tr>
      <w:tr>
        <w:tc>
          <w:tcPr>
            <w:tcW w:type="dxa" w:w="2351"/>
          </w:tcPr>
          <w:p>
            <w:r>
              <w:t>Không gửi báo cáo công việc</w:t>
            </w:r>
          </w:p>
        </w:tc>
        <w:tc>
          <w:tcPr>
            <w:tcW w:type="dxa" w:w="2351"/>
          </w:tcPr>
          <w:p>
            <w:r>
              <w:t>2 lần</w:t>
            </w:r>
          </w:p>
        </w:tc>
        <w:tc>
          <w:tcPr>
            <w:tcW w:type="dxa" w:w="2351"/>
          </w:tcPr>
          <w:p>
            <w:r>
              <w:t>Cảnh cáo</w:t>
            </w:r>
          </w:p>
        </w:tc>
        <w:tc>
          <w:tcPr>
            <w:tcW w:type="dxa" w:w="2351"/>
          </w:tcPr>
          <w:p>
            <w:r>
              <w:t>1.000.000</w:t>
            </w:r>
          </w:p>
        </w:tc>
      </w:tr>
      <w:tr>
        <w:tc>
          <w:tcPr>
            <w:tcW w:type="dxa" w:w="2351"/>
          </w:tcPr>
          <w:p>
            <w:r>
              <w:t>Thiếu trách nhiệm trong công việc</w:t>
            </w:r>
          </w:p>
        </w:tc>
        <w:tc>
          <w:tcPr>
            <w:tcW w:type="dxa" w:w="2351"/>
          </w:tcPr>
          <w:p>
            <w:r>
              <w:t>3 lần</w:t>
            </w:r>
          </w:p>
        </w:tc>
        <w:tc>
          <w:tcPr>
            <w:tcW w:type="dxa" w:w="2351"/>
          </w:tcPr>
          <w:p>
            <w:r>
              <w:t>Sa thải</w:t>
            </w:r>
          </w:p>
        </w:tc>
        <w:tc>
          <w:tcPr>
            <w:tcW w:type="dxa" w:w="2351"/>
          </w:tcPr>
          <w:p>
            <w:r>
              <w:t>5.000.000</w:t>
            </w:r>
          </w:p>
        </w:tc>
      </w:tr>
      <w:tr>
        <w:tc>
          <w:tcPr>
            <w:tcW w:type="dxa" w:w="2351"/>
          </w:tcPr>
          <w:p>
            <w:r>
              <w:t>Sử dụng thiết bị không hợp lệ</w:t>
            </w:r>
          </w:p>
        </w:tc>
        <w:tc>
          <w:tcPr>
            <w:tcW w:type="dxa" w:w="2351"/>
          </w:tcPr>
          <w:p>
            <w:r>
              <w:t>1 lần</w:t>
            </w:r>
          </w:p>
        </w:tc>
        <w:tc>
          <w:tcPr>
            <w:tcW w:type="dxa" w:w="2351"/>
          </w:tcPr>
          <w:p>
            <w:r>
              <w:t>Cảnh cáo</w:t>
            </w:r>
          </w:p>
        </w:tc>
        <w:tc>
          <w:tcPr>
            <w:tcW w:type="dxa" w:w="2351"/>
          </w:tcPr>
          <w:p>
            <w:r>
              <w:t>1.500.000</w:t>
            </w:r>
          </w:p>
        </w:tc>
      </w:tr>
    </w:tbl>
    <w:p/>
    <w:p>
      <w:pPr>
        <w:pStyle w:val="Heading1"/>
        <w:spacing w:before="280" w:after="120"/>
      </w:pPr>
      <w:r>
        <w:t>VI. ĐIỀU KHOẢN THI HÀNH</w:t>
      </w:r>
    </w:p>
    <w:p>
      <w:pPr>
        <w:spacing w:after="120"/>
      </w:pPr>
      <w:r>
        <w:t>Quy định này có hiệu lực từ ngày 01 tháng 07 năm 2026 và tất cả các quy định trước đây liên quan đến làm việc từ xa sẽ bị bãi bỏ. Trách nhiệm phổ biến quy định này được giao cho bộ phận Nhân sự, đồng thời bộ phận này cũng có trách nhiệm cập nhật và sửa đổi quy định khi cần thiết để phù hợp với tình hình thực tế của công ty.</w:t>
      </w:r>
    </w:p>
    <w:p>
      <w:pPr>
        <w:spacing w:after="120"/>
      </w:pPr>
      <w:r>
        <w:t>TP. Ho Chi Minh, ngay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