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VSF/38_QT_KY_LUAT_KHIEN_</w:t>
      </w:r>
    </w:p>
    <w:p/>
    <w:p>
      <w:pPr>
        <w:jc w:val="center"/>
      </w:pPr>
      <w:r>
        <w:rPr>
          <w:b/>
          <w:sz w:val="28"/>
        </w:rPr>
        <w:t>QUY TRÌNH XỬ LÝ KỶ LUẬT – KHIỂN TRÁCH VÀ KÉO DÀI NÂNG LƯƠNG</w:t>
      </w:r>
    </w:p>
    <w:p/>
    <w:p>
      <w:pPr>
        <w:pStyle w:val="Heading1"/>
        <w:spacing w:before="280" w:after="120"/>
      </w:pPr>
      <w:r>
        <w:t>I. PHẠM VI VÀ ĐỐI TƯỢNG ÁP DỤNG</w:t>
      </w:r>
    </w:p>
    <w:p>
      <w:pPr>
        <w:spacing w:after="120"/>
      </w:pPr>
      <w:r>
        <w:t>Quy trình xử lý kỷ luật, khiển trách và kéo dài nâng lương của Công ty TNHH Công nghệ VSF áp dụng cho toàn bộ nhân viên làm việc tại công ty, bao gồm các bộ phận và phòng ban thuộc công ty. Thời gian áp dụng quy trình này bắt đầu từ ngày 01 tháng 07 năm 2026. Quy trình này không áp dụng cho các đối tượng ngoại lệ như nhân viên thử việc trong thời gian thử việc, nhân viên nghỉ phép hoặc những nhân viên đang tham gia các chương trình đào tạo, huấn luyện chính thức do công ty tổ chức. Mọi hành vi vi phạm của nhân viên trong thời gian làm việc tại công ty sẽ được xử lý theo quy trình này nhằm duy trì kỷ cương, kỷ luật và nâng cao hiệu quả công việc.</w:t>
      </w:r>
    </w:p>
    <w:p>
      <w:pPr>
        <w:pStyle w:val="Heading1"/>
        <w:spacing w:before="280" w:after="120"/>
      </w:pPr>
      <w:r>
        <w:t>II. ĐỊNH NGHĨA VÀ GIẢI THÍCH THUẬT NGỮ</w:t>
      </w:r>
    </w:p>
    <w:p>
      <w:pPr>
        <w:pStyle w:val="ListNumber"/>
        <w:spacing w:after="60"/>
      </w:pPr>
      <w:r>
        <w:t>1. Kỷ luật: Là hình thức xử lý các hành vi vi phạm quy định của công ty, nhằm đảm bảo môi trường làm việc chuyên nghiệp và hiệu quả.</w:t>
      </w:r>
    </w:p>
    <w:p>
      <w:pPr>
        <w:pStyle w:val="ListNumber"/>
        <w:spacing w:after="60"/>
      </w:pPr>
      <w:r>
        <w:t>2. Khiển trách: Là hành động nhắc nhở nhân viên về các hành vi không đúng mực, có thể thực hiện bằng lời nói hoặc văn bản chính thức.</w:t>
      </w:r>
    </w:p>
    <w:p>
      <w:pPr>
        <w:pStyle w:val="ListNumber"/>
        <w:spacing w:after="60"/>
      </w:pPr>
      <w:r>
        <w:t>3. Kéo dài nâng lương: Là việc hoãn lại thời điểm nâng lương của nhân viên do các lý do vi phạm kỷ luật hoặc không hoàn thành nhiệm vụ được giao.</w:t>
      </w:r>
    </w:p>
    <w:p>
      <w:pPr>
        <w:pStyle w:val="ListNumber"/>
        <w:spacing w:after="60"/>
      </w:pPr>
      <w:r>
        <w:t>4. Biên bản họp kỷ luật: Là tài liệu ghi nhận nội dung, diễn biến và kết quả của cuộc họp liên quan đến việc xử lý kỷ luật nhân viên.</w:t>
      </w:r>
    </w:p>
    <w:p>
      <w:pPr>
        <w:pStyle w:val="ListNumber"/>
        <w:spacing w:after="60"/>
      </w:pPr>
      <w:r>
        <w:t>5. Quyền kháng nghị: Là quyền lợi của nhân viên khi không đồng ý với quyết định kỷ luật, cho phép họ có thể khiếu nại lên cấp trên hoặc bộ phận nhân sự.</w:t>
      </w:r>
    </w:p>
    <w:p>
      <w:pPr>
        <w:pStyle w:val="ListNumber"/>
        <w:spacing w:after="60"/>
      </w:pPr>
      <w:r>
        <w:t>6. Hồ sơ kỷ luật: Là tài liệu lưu trữ liên quan đến các hành vi vi phạm, biên bản họp kỷ luật và các quyết định xử lý kỷ luật.</w:t>
      </w:r>
    </w:p>
    <w:p>
      <w:pPr>
        <w:pStyle w:val="Heading1"/>
        <w:spacing w:before="280" w:after="120"/>
      </w:pPr>
      <w:r>
        <w:t>III. NỘI DUNG QUY ĐỊNH / QUY TRÌNH CHI TIẾT</w:t>
      </w:r>
    </w:p>
    <w:p>
      <w:pPr>
        <w:pStyle w:val="Heading2"/>
        <w:spacing w:before="200" w:after="80"/>
      </w:pPr>
      <w:r>
        <w:t>3.1. Các hình thức kỷ luật nhẹ</w:t>
      </w:r>
    </w:p>
    <w:p>
      <w:pPr>
        <w:pStyle w:val="ListBullet"/>
        <w:spacing w:after="60"/>
      </w:pPr>
      <w:r>
        <w:t>Khiển trách miệng: Được áp dụng cho những vi phạm lần đầu, không nghiêm trọng, nhằm nhắc nhở nhân viên về hành vi của mình.</w:t>
      </w:r>
    </w:p>
    <w:p>
      <w:pPr>
        <w:pStyle w:val="ListBullet"/>
        <w:spacing w:after="60"/>
      </w:pPr>
      <w:r>
        <w:t>Khiển trách văn bản: Dành cho những hành vi vi phạm lặp lại hoặc có tính chất nghiêm trọng hơn, được ghi nhận bằng văn bản chính thức.</w:t>
      </w:r>
    </w:p>
    <w:p>
      <w:pPr>
        <w:pStyle w:val="ListBullet"/>
        <w:spacing w:after="60"/>
      </w:pPr>
      <w:r>
        <w:t>Kéo dài thời hạn nâng lương: Áp dụng cho nhân viên không hoàn thành nhiệm vụ hoặc có hành vi vi phạm nghiêm trọng, thời gian kéo dài có thể từ 3 đến 6 tháng.</w:t>
      </w:r>
    </w:p>
    <w:p>
      <w:pPr>
        <w:pStyle w:val="Heading2"/>
        <w:spacing w:before="200" w:after="80"/>
      </w:pPr>
      <w:r>
        <w:t>3.2. Điều kiện áp dụng từng hình thức</w:t>
      </w:r>
    </w:p>
    <w:p>
      <w:pPr>
        <w:pStyle w:val="ListBullet"/>
        <w:spacing w:after="60"/>
      </w:pPr>
      <w:r>
        <w:t>Khiển trách miệng: Chỉ áp dụng khi nhân viên vi phạm quy định lần đầu và hành vi không ảnh hưởng nghiêm trọng đến tập thể hoặc công việc.</w:t>
      </w:r>
    </w:p>
    <w:p>
      <w:pPr>
        <w:pStyle w:val="ListBullet"/>
        <w:spacing w:after="60"/>
      </w:pPr>
      <w:r>
        <w:t>Khiển trách văn bản: Áp dụng khi nhân viên vi phạm quy định nhiều lần hoặc có hành vi sai trái nghiêm trọng.</w:t>
      </w:r>
    </w:p>
    <w:p>
      <w:pPr>
        <w:pStyle w:val="ListBullet"/>
        <w:spacing w:after="60"/>
      </w:pPr>
      <w:r>
        <w:t>Kéo dài thời hạn nâng lương: Nếu nhân viên không hoàn thành nhiệm vụ được giao trong quá trình đánh giá năng lực.</w:t>
      </w:r>
    </w:p>
    <w:p>
      <w:pPr>
        <w:pStyle w:val="Heading2"/>
        <w:spacing w:before="200" w:after="80"/>
      </w:pPr>
      <w:r>
        <w:t>3.3. Quy trình họp kỷ luật</w:t>
      </w:r>
    </w:p>
    <w:p>
      <w:pPr>
        <w:pStyle w:val="ListBullet"/>
        <w:spacing w:after="60"/>
      </w:pPr>
      <w:r>
        <w:t>Thành lập hội đồng kỷ luật: Gồm đại diện phòng nhân sự, quản lý trực tiếp và một số đại diện nhân viên khác.</w:t>
      </w:r>
    </w:p>
    <w:p>
      <w:pPr>
        <w:pStyle w:val="ListBullet"/>
        <w:spacing w:after="60"/>
      </w:pPr>
      <w:r>
        <w:t>Thông báo họp: Nhân viên sẽ được thông báo trước về nội dung và thời gian họp ít nhất 3 ngày làm việc.</w:t>
      </w:r>
    </w:p>
    <w:p>
      <w:pPr>
        <w:pStyle w:val="ListBullet"/>
        <w:spacing w:after="60"/>
      </w:pPr>
      <w:r>
        <w:t>Ghi biên bản: Cuộc họp sẽ được ghi lại bằng biên bản, nêu rõ các diễn biến và kết luận của hội đồng.</w:t>
      </w:r>
    </w:p>
    <w:p>
      <w:pPr>
        <w:pStyle w:val="Heading2"/>
        <w:spacing w:before="200" w:after="80"/>
      </w:pPr>
      <w:r>
        <w:t>3.4. Quyền kháng nghị của nhân viên</w:t>
      </w:r>
    </w:p>
    <w:p>
      <w:pPr>
        <w:pStyle w:val="ListBullet"/>
        <w:spacing w:after="60"/>
      </w:pPr>
      <w:r>
        <w:t>Nhân viên có quyền kháng nghị trong vòng 7 ngày làm việc kể từ ngày nhận thông báo kỷ luật.</w:t>
      </w:r>
    </w:p>
    <w:p>
      <w:pPr>
        <w:pStyle w:val="ListBullet"/>
        <w:spacing w:after="60"/>
      </w:pPr>
      <w:r>
        <w:t>Kháng nghị sẽ được xem xét và giải quyết bởi cấp trên của hội đồng kỷ luật.</w:t>
      </w:r>
    </w:p>
    <w:p>
      <w:pPr>
        <w:pStyle w:val="ListBullet"/>
        <w:spacing w:after="60"/>
      </w:pPr>
      <w:r>
        <w:t>Quyết định cuối cùng sẽ được thông báo đến nhân viên qua văn bản chính thức.</w:t>
      </w:r>
    </w:p>
    <w:p>
      <w:pPr>
        <w:pStyle w:val="Heading2"/>
        <w:spacing w:before="200" w:after="80"/>
      </w:pPr>
      <w:r>
        <w:t>3.5. Lưu hồ sơ</w:t>
      </w:r>
    </w:p>
    <w:p>
      <w:pPr>
        <w:pStyle w:val="ListBullet"/>
        <w:spacing w:after="60"/>
      </w:pPr>
      <w:r>
        <w:t>Hồ sơ kỷ luật sẽ được lưu trữ tại phòng nhân sự trong thời gian ít nhất 5 năm.</w:t>
      </w:r>
    </w:p>
    <w:p>
      <w:pPr>
        <w:pStyle w:val="ListBullet"/>
        <w:spacing w:after="60"/>
      </w:pPr>
      <w:r>
        <w:t>Mọi tài liệu liên quan đến kỷ luật sẽ được bảo mật và chỉ được phép truy cập bởi những người có thẩm quyền.</w:t>
      </w:r>
    </w:p>
    <w:p>
      <w:pPr>
        <w:pStyle w:val="ListBullet"/>
        <w:spacing w:after="60"/>
      </w:pPr>
      <w:r>
        <w:t>Hồ sơ sẽ bao gồm biên bản họp kỷ luật, quyết định xử lý và các tài liệu liên quan khác.</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HÌNH THỨC KỶ LUẬT</w:t>
            </w:r>
          </w:p>
        </w:tc>
        <w:tc>
          <w:tcPr>
            <w:tcW w:type="dxa" w:w="3135"/>
          </w:tcPr>
          <w:p>
            <w:r>
              <w:rPr>
                <w:b/>
              </w:rPr>
              <w:t>ĐIỀU KIỆN ÁP DỤNG</w:t>
            </w:r>
          </w:p>
        </w:tc>
        <w:tc>
          <w:tcPr>
            <w:tcW w:type="dxa" w:w="3135"/>
          </w:tcPr>
          <w:p>
            <w:r>
              <w:rPr>
                <w:b/>
              </w:rPr>
              <w:t>THỜI GIAN THỰC HIỆN</w:t>
            </w:r>
          </w:p>
        </w:tc>
      </w:tr>
      <w:tr>
        <w:tc>
          <w:tcPr>
            <w:tcW w:type="dxa" w:w="3135"/>
          </w:tcPr>
          <w:p>
            <w:r>
              <w:t>Khiển trách miệng</w:t>
            </w:r>
          </w:p>
        </w:tc>
        <w:tc>
          <w:tcPr>
            <w:tcW w:type="dxa" w:w="3135"/>
          </w:tcPr>
          <w:p>
            <w:r>
              <w:t>Vi phạm lần đầu, không nghiêm trọng</w:t>
            </w:r>
          </w:p>
        </w:tc>
        <w:tc>
          <w:tcPr>
            <w:tcW w:type="dxa" w:w="3135"/>
          </w:tcPr>
          <w:p>
            <w:r>
              <w:t>Ngay lập tức</w:t>
            </w:r>
          </w:p>
        </w:tc>
      </w:tr>
      <w:tr>
        <w:tc>
          <w:tcPr>
            <w:tcW w:type="dxa" w:w="3135"/>
          </w:tcPr>
          <w:p>
            <w:r>
              <w:t>Khiển trách văn bản</w:t>
            </w:r>
          </w:p>
        </w:tc>
        <w:tc>
          <w:tcPr>
            <w:tcW w:type="dxa" w:w="3135"/>
          </w:tcPr>
          <w:p>
            <w:r>
              <w:t>Vi phạm lặp lại hoặc nghiêm trọng</w:t>
            </w:r>
          </w:p>
        </w:tc>
        <w:tc>
          <w:tcPr>
            <w:tcW w:type="dxa" w:w="3135"/>
          </w:tcPr>
          <w:p>
            <w:r>
              <w:t>Trong vòng 3 ngày</w:t>
            </w:r>
          </w:p>
        </w:tc>
      </w:tr>
      <w:tr>
        <w:tc>
          <w:tcPr>
            <w:tcW w:type="dxa" w:w="3135"/>
          </w:tcPr>
          <w:p>
            <w:r>
              <w:t>Kéo dài nâng lương</w:t>
            </w:r>
          </w:p>
        </w:tc>
        <w:tc>
          <w:tcPr>
            <w:tcW w:type="dxa" w:w="3135"/>
          </w:tcPr>
          <w:p>
            <w:r>
              <w:t>Không hoàn thành nhiệm vụ</w:t>
            </w:r>
          </w:p>
        </w:tc>
        <w:tc>
          <w:tcPr>
            <w:tcW w:type="dxa" w:w="3135"/>
          </w:tcPr>
          <w:p>
            <w:r>
              <w:t>Tối đa 6 tháng</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 / CÁ NHÂN</w:t>
            </w:r>
          </w:p>
        </w:tc>
        <w:tc>
          <w:tcPr>
            <w:tcW w:type="dxa" w:w="4702"/>
          </w:tcPr>
          <w:p>
            <w:r>
              <w:rPr>
                <w:b/>
              </w:rPr>
              <w:t>TRÁCH NHIỆM</w:t>
            </w:r>
          </w:p>
        </w:tc>
      </w:tr>
      <w:tr>
        <w:tc>
          <w:tcPr>
            <w:tcW w:type="dxa" w:w="4702"/>
          </w:tcPr>
          <w:p>
            <w:r>
              <w:t>Phòng Nhân sự</w:t>
            </w:r>
          </w:p>
        </w:tc>
        <w:tc>
          <w:tcPr>
            <w:tcW w:type="dxa" w:w="4702"/>
          </w:tcPr>
          <w:p>
            <w:r>
              <w:t>1. Quản lý hồ sơ kỷ luật. 2. Tổ chức họp kỷ luật. 3. Thông báo quyết định xử lý đến nhân viên.</w:t>
            </w:r>
          </w:p>
        </w:tc>
      </w:tr>
      <w:tr>
        <w:tc>
          <w:tcPr>
            <w:tcW w:type="dxa" w:w="4702"/>
          </w:tcPr>
          <w:p>
            <w:r>
              <w:t>Quản lý trực tiếp</w:t>
            </w:r>
          </w:p>
        </w:tc>
        <w:tc>
          <w:tcPr>
            <w:tcW w:type="dxa" w:w="4702"/>
          </w:tcPr>
          <w:p>
            <w:r>
              <w:t>1. Theo dõi hiệu suất làm việc của nhân viên. 2. Đề xuất hình thức xử lý kỷ luật. 3. Tham gia hội đồng kỷ luật.</w:t>
            </w:r>
          </w:p>
        </w:tc>
      </w:tr>
      <w:tr>
        <w:tc>
          <w:tcPr>
            <w:tcW w:type="dxa" w:w="4702"/>
          </w:tcPr>
          <w:p>
            <w:r>
              <w:t>Nhân viên</w:t>
            </w:r>
          </w:p>
        </w:tc>
        <w:tc>
          <w:tcPr>
            <w:tcW w:type="dxa" w:w="4702"/>
          </w:tcPr>
          <w:p>
            <w:r>
              <w:t>1. Chấp hành các quy định công ty. 2. Tham gia họp kỷ luật khi được triệu tập. 3. Thực hiện quyền kháng nghị nếu cần.</w:t>
            </w:r>
          </w:p>
        </w:tc>
      </w:tr>
      <w:tr>
        <w:tc>
          <w:tcPr>
            <w:tcW w:type="dxa" w:w="4702"/>
          </w:tcPr>
          <w:p>
            <w:r>
              <w:t>Ban Giám đốc</w:t>
            </w:r>
          </w:p>
        </w:tc>
        <w:tc>
          <w:tcPr>
            <w:tcW w:type="dxa" w:w="4702"/>
          </w:tcPr>
          <w:p>
            <w:r>
              <w:t>1. Phê duyệt quyết định xử lý kỷ luật. 2. Giám sát việc thực hiện quy trình. 3. Đảm bảo công bằng trong xử lý kỷ luật.</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MỨC VI PHẠM</w:t>
            </w:r>
          </w:p>
        </w:tc>
        <w:tc>
          <w:tcPr>
            <w:tcW w:type="dxa" w:w="1881"/>
          </w:tcPr>
          <w:p>
            <w:r>
              <w:rPr>
                <w:b/>
              </w:rPr>
              <w:t>HÀNH VI VI PHẠM</w:t>
            </w:r>
          </w:p>
        </w:tc>
        <w:tc>
          <w:tcPr>
            <w:tcW w:type="dxa" w:w="1881"/>
          </w:tcPr>
          <w:p>
            <w:r>
              <w:rPr>
                <w:b/>
              </w:rPr>
              <w:t>SỐ LẦN</w:t>
            </w:r>
          </w:p>
        </w:tc>
        <w:tc>
          <w:tcPr>
            <w:tcW w:type="dxa" w:w="1881"/>
          </w:tcPr>
          <w:p>
            <w:r>
              <w:rPr>
                <w:b/>
              </w:rPr>
              <w:t>HÌNH THỨC XỬ LÝ</w:t>
            </w:r>
          </w:p>
        </w:tc>
        <w:tc>
          <w:tcPr>
            <w:tcW w:type="dxa" w:w="1881"/>
          </w:tcPr>
          <w:p>
            <w:r>
              <w:rPr>
                <w:b/>
              </w:rPr>
              <w:t>MỨC PHẠT (VNĐ)</w:t>
            </w:r>
          </w:p>
        </w:tc>
      </w:tr>
      <w:tr>
        <w:tc>
          <w:tcPr>
            <w:tcW w:type="dxa" w:w="1881"/>
          </w:tcPr>
          <w:p>
            <w:r>
              <w:t>1</w:t>
            </w:r>
          </w:p>
        </w:tc>
        <w:tc>
          <w:tcPr>
            <w:tcW w:type="dxa" w:w="1881"/>
          </w:tcPr>
          <w:p>
            <w:r>
              <w:t>Đi muộn 3 lần</w:t>
            </w:r>
          </w:p>
        </w:tc>
        <w:tc>
          <w:tcPr>
            <w:tcW w:type="dxa" w:w="1881"/>
          </w:tcPr>
          <w:p>
            <w:r>
              <w:t>3 lần</w:t>
            </w:r>
          </w:p>
        </w:tc>
        <w:tc>
          <w:tcPr>
            <w:tcW w:type="dxa" w:w="1881"/>
          </w:tcPr>
          <w:p>
            <w:r>
              <w:t>Khiển trách miệng</w:t>
            </w:r>
          </w:p>
        </w:tc>
        <w:tc>
          <w:tcPr>
            <w:tcW w:type="dxa" w:w="1881"/>
          </w:tcPr>
          <w:p>
            <w:r>
              <w:t>0</w:t>
            </w:r>
          </w:p>
        </w:tc>
      </w:tr>
      <w:tr>
        <w:tc>
          <w:tcPr>
            <w:tcW w:type="dxa" w:w="1881"/>
          </w:tcPr>
          <w:p>
            <w:r>
              <w:t>2</w:t>
            </w:r>
          </w:p>
        </w:tc>
        <w:tc>
          <w:tcPr>
            <w:tcW w:type="dxa" w:w="1881"/>
          </w:tcPr>
          <w:p>
            <w:r>
              <w:t>Không hoàn thành nhiệm vụ</w:t>
            </w:r>
          </w:p>
        </w:tc>
        <w:tc>
          <w:tcPr>
            <w:tcW w:type="dxa" w:w="1881"/>
          </w:tcPr>
          <w:p>
            <w:r>
              <w:t>2 lần</w:t>
            </w:r>
          </w:p>
        </w:tc>
        <w:tc>
          <w:tcPr>
            <w:tcW w:type="dxa" w:w="1881"/>
          </w:tcPr>
          <w:p>
            <w:r>
              <w:t>Khiển trách văn bản</w:t>
            </w:r>
          </w:p>
        </w:tc>
        <w:tc>
          <w:tcPr>
            <w:tcW w:type="dxa" w:w="1881"/>
          </w:tcPr>
          <w:p>
            <w:r>
              <w:t>0</w:t>
            </w:r>
          </w:p>
        </w:tc>
      </w:tr>
      <w:tr>
        <w:tc>
          <w:tcPr>
            <w:tcW w:type="dxa" w:w="1881"/>
          </w:tcPr>
          <w:p>
            <w:r>
              <w:t>3</w:t>
            </w:r>
          </w:p>
        </w:tc>
        <w:tc>
          <w:tcPr>
            <w:tcW w:type="dxa" w:w="1881"/>
          </w:tcPr>
          <w:p>
            <w:r>
              <w:t>Vi phạm quy định nội bộ</w:t>
            </w:r>
          </w:p>
        </w:tc>
        <w:tc>
          <w:tcPr>
            <w:tcW w:type="dxa" w:w="1881"/>
          </w:tcPr>
          <w:p>
            <w:r>
              <w:t>2 lần</w:t>
            </w:r>
          </w:p>
        </w:tc>
        <w:tc>
          <w:tcPr>
            <w:tcW w:type="dxa" w:w="1881"/>
          </w:tcPr>
          <w:p>
            <w:r>
              <w:t>Kéo dài nâng lương</w:t>
            </w:r>
          </w:p>
        </w:tc>
        <w:tc>
          <w:tcPr>
            <w:tcW w:type="dxa" w:w="1881"/>
          </w:tcPr>
          <w:p>
            <w:r>
              <w:t>500.000</w:t>
            </w:r>
          </w:p>
        </w:tc>
      </w:tr>
      <w:tr>
        <w:tc>
          <w:tcPr>
            <w:tcW w:type="dxa" w:w="1881"/>
          </w:tcPr>
          <w:p>
            <w:r>
              <w:t>4</w:t>
            </w:r>
          </w:p>
        </w:tc>
        <w:tc>
          <w:tcPr>
            <w:tcW w:type="dxa" w:w="1881"/>
          </w:tcPr>
          <w:p>
            <w:r>
              <w:t>Hành vi không trung thực</w:t>
            </w:r>
          </w:p>
        </w:tc>
        <w:tc>
          <w:tcPr>
            <w:tcW w:type="dxa" w:w="1881"/>
          </w:tcPr>
          <w:p>
            <w:r>
              <w:t>1 lần</w:t>
            </w:r>
          </w:p>
        </w:tc>
        <w:tc>
          <w:tcPr>
            <w:tcW w:type="dxa" w:w="1881"/>
          </w:tcPr>
          <w:p>
            <w:r>
              <w:t>Kỷ luật sa thải</w:t>
            </w:r>
          </w:p>
        </w:tc>
        <w:tc>
          <w:tcPr>
            <w:tcW w:type="dxa" w:w="1881"/>
          </w:tcPr>
          <w:p>
            <w:r>
              <w:t>5.000.000</w:t>
            </w:r>
          </w:p>
        </w:tc>
      </w:tr>
    </w:tbl>
    <w:p/>
    <w:p>
      <w:pPr>
        <w:pStyle w:val="Heading1"/>
        <w:spacing w:before="280" w:after="120"/>
      </w:pPr>
      <w:r>
        <w:t>VI. ĐIỀU KHOẢN THI HÀNH</w:t>
      </w:r>
    </w:p>
    <w:p>
      <w:pPr>
        <w:spacing w:after="120"/>
      </w:pPr>
      <w:r>
        <w:t>Quy trình xử lý kỷ luật – khiển trách và kéo dài nâng lương có hiệu lực từ ngày 01 tháng 07 năm 2026. Quy trình này sẽ bãi bỏ mọi văn bản quy định trước đây liên quan đến xử lý kỷ luật trong công ty. Phòng Nhân sự có trách nhiệm phổ biến quy định này đến toàn thể nhân viên và tổ chức các buổi đào tạo để đảm bảo mọi người hiểu rõ quy trình. Các phòng ban có liên quan sẽ có trách nhiệm cập nhật và sửa đổi quy trình này khi cần thiết để phù hợp với tình hình thực tế của công ty.</w:t>
      </w:r>
    </w:p>
    <w:p>
      <w:pPr>
        <w:spacing w:after="120"/>
      </w:pPr>
      <w:r>
        <w:t>TP. Ho Chi Minh, ngày 01 tháng 07 năm 2026</w:t>
      </w:r>
    </w:p>
    <w:p>
      <w:pPr>
        <w:pStyle w:val="Heading1"/>
        <w:spacing w:before="280" w:after="120"/>
      </w:pPr>
      <w:r>
        <w:t>GIAM DOC DIEU HANH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