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CÔNG TY TNHH CÔNG NGHỆ VSF</w:t>
      </w:r>
    </w:p>
    <w:p>
      <w:pPr>
        <w:jc w:val="center"/>
      </w:pPr>
      <w:r>
        <w:rPr>
          <w:sz w:val="22"/>
        </w:rPr>
        <w:t>Số: VSF/42_QD_PHONG_CHONG_QU</w:t>
      </w:r>
    </w:p>
    <w:p/>
    <w:p>
      <w:pPr>
        <w:jc w:val="center"/>
      </w:pPr>
      <w:r>
        <w:rPr>
          <w:b/>
          <w:sz w:val="28"/>
        </w:rPr>
        <w:t>QUY ĐỊNH PHÒNG CHỐNG QUẤY RỐI VÀ CƠ CHẾ KHIẾU NẠI NỘI BỘ</w:t>
      </w:r>
    </w:p>
    <w:p/>
    <w:p>
      <w:pPr>
        <w:pStyle w:val="Heading1"/>
        <w:spacing w:before="280" w:after="120"/>
      </w:pPr>
      <w:r>
        <w:t>I. PHẠM VI VÀ ĐỐI TƯỢNG ÁP DỤNG</w:t>
      </w:r>
    </w:p>
    <w:p>
      <w:pPr>
        <w:spacing w:after="120"/>
      </w:pPr>
      <w:r>
        <w:t>Quy định này áp dụng cho toàn bộ cán bộ, nhân viên, người lao động của Công ty TNHH Công nghệ VSF (sau đây gọi là "Công ty"). Phạm vi áp dụng bao gồm tất cả các hoạt động diễn ra trong khuôn viên văn phòng, trong các sự kiện của Công ty, trong các cuộc họp, cũng như trong các hoạt động ngoại khóa có liên quan đến Công ty. Thời gian áp dụng không giới hạn, tức là quy định này có hiệu lực trong suốt thời gian làm việc tại Công ty.</w:t>
      </w:r>
    </w:p>
    <w:p>
      <w:pPr>
        <w:spacing w:after="120"/>
      </w:pPr>
      <w:r>
        <w:t>Đối tượng áp dụng bao gồm tất cả các cá nhân thuộc Công ty, bao gồm nhân viên chính thức, nhân viên thử việc, thực tập sinh, và các bên thứ ba có liên quan (như nhà cung cấp dịch vụ, khách hàng) khi họ có mặt trong các hoạt động của Công ty. Các đối tượng ngoại lệ, nếu có, sẽ được quy định rõ trong các thỏa thuận cụ thể giữa các bên.</w:t>
      </w:r>
    </w:p>
    <w:p>
      <w:pPr>
        <w:pStyle w:val="Heading1"/>
        <w:spacing w:before="280" w:after="120"/>
      </w:pPr>
      <w:r>
        <w:t>II. ĐỊNH NGHĨA VÀ GIẢI THÍCH THUẬT NGỮ</w:t>
      </w:r>
    </w:p>
    <w:p>
      <w:pPr>
        <w:pStyle w:val="ListNumber"/>
        <w:spacing w:after="60"/>
      </w:pPr>
      <w:r>
        <w:t>1. Quấy rối tình dục: Là hành vi không mong muốn liên quan đến tình dục mà gây ra cảm giác khó chịu, đe dọa, hoặc làm tổn thương đến người khác, bao gồm nhưng không giới hạn ở các hành vi như lời nói khiếm nhã, chạm vào cơ thể mà không được phép.</w:t>
      </w:r>
    </w:p>
    <w:p>
      <w:pPr>
        <w:pStyle w:val="ListNumber"/>
        <w:spacing w:after="60"/>
      </w:pPr>
      <w:r>
        <w:t>2. Quấy rối tâm lý: Là hành vi gây áp lực tâm lý, làm tổn thương tinh thần đến cá nhân khác thông qua những lời nói, hành động hoặc cử chỉ nhằm mục đích làm mất lòng tự trọng hoặc làm giảm năng suất làm việc của người bị quấy rối.</w:t>
      </w:r>
    </w:p>
    <w:p>
      <w:pPr>
        <w:pStyle w:val="ListNumber"/>
        <w:spacing w:after="60"/>
      </w:pPr>
      <w:r>
        <w:t>3. Quấy rối quyền lực: Là hành vi lạm dụng quyền lực trong tổ chức để gây áp lực hoặc kiểm soát một cá nhân khác, thường liên quan đến các cấp bậc trong công ty, nhằm đạt được lợi ích cá nhân.</w:t>
      </w:r>
    </w:p>
    <w:p>
      <w:pPr>
        <w:pStyle w:val="ListNumber"/>
        <w:spacing w:after="60"/>
      </w:pPr>
      <w:r>
        <w:t>4. Kênh báo cáo ẩn danh: Là phương thức cho phép nhân viên báo cáo các hành vi quấy rối mà không cần tiết lộ danh tính của mình, nhằm bảo vệ quyền lợi và sự an toàn cho người tố cáo.</w:t>
      </w:r>
    </w:p>
    <w:p>
      <w:pPr>
        <w:pStyle w:val="ListNumber"/>
        <w:spacing w:after="60"/>
      </w:pPr>
      <w:r>
        <w:t>5. Quy trình điều tra: Là các bước được thực hiện để xác minh tính chính xác của các báo cáo về quấy rối, bao gồm thu thập thông tin, phỏng vấn các bên liên quan và đưa ra kết luận cuối cùng.</w:t>
      </w:r>
    </w:p>
    <w:p>
      <w:pPr>
        <w:pStyle w:val="ListNumber"/>
        <w:spacing w:after="60"/>
      </w:pPr>
      <w:r>
        <w:t>6. Người tố cáo: Là cá nhân thực hiện việc báo cáo hành vi quấy rối, có quyền được bảo vệ và không bị trả thù trong suốt quá trình điều tra và xử lý.</w:t>
      </w:r>
    </w:p>
    <w:p>
      <w:pPr>
        <w:pStyle w:val="Heading1"/>
        <w:spacing w:before="280" w:after="120"/>
      </w:pPr>
      <w:r>
        <w:t>III. NỘI DUNG QUY ĐỊNH / QUY TRÌNH CHI TIẾT</w:t>
      </w:r>
    </w:p>
    <w:p>
      <w:pPr>
        <w:pStyle w:val="Heading2"/>
        <w:spacing w:before="200" w:after="80"/>
      </w:pPr>
      <w:r>
        <w:t>3.1. Các hành vi bị cấm</w:t>
      </w:r>
    </w:p>
    <w:p>
      <w:pPr>
        <w:pStyle w:val="ListBullet"/>
        <w:spacing w:after="60"/>
      </w:pPr>
      <w:r>
        <w:t>Tất cả các hình thức quấy rối tình dục, tâm lý và quyền lực đều bị nghiêm cấm tại Công ty.</w:t>
      </w:r>
    </w:p>
    <w:p>
      <w:pPr>
        <w:pStyle w:val="ListBullet"/>
        <w:spacing w:after="60"/>
      </w:pPr>
      <w:r>
        <w:t>Không được có hành vi chạm vào cơ thể của người khác mà không được sự đồng ý của họ.</w:t>
      </w:r>
    </w:p>
    <w:p>
      <w:pPr>
        <w:pStyle w:val="ListBullet"/>
        <w:spacing w:after="60"/>
      </w:pPr>
      <w:r>
        <w:t>Không được thực hiện các hành vi đe dọa, xúc phạm hoặc khiến người khác cảm thấy không an toàn về mặt tâm lý.</w:t>
      </w:r>
    </w:p>
    <w:p>
      <w:pPr>
        <w:pStyle w:val="Heading2"/>
        <w:spacing w:before="200" w:after="80"/>
      </w:pPr>
      <w:r>
        <w:t>3.2. Kênh báo cáo</w:t>
      </w:r>
    </w:p>
    <w:p>
      <w:pPr>
        <w:pStyle w:val="ListBullet"/>
        <w:spacing w:after="60"/>
      </w:pPr>
      <w:r>
        <w:t>Công ty cung cấp kênh báo cáo ẩn danh qua email hoặc hộp thư đề nghị, nơi nhân viên có thể gửi thông tin mà không cần tiết lộ danh tính.</w:t>
      </w:r>
    </w:p>
    <w:p>
      <w:pPr>
        <w:pStyle w:val="ListBullet"/>
        <w:spacing w:after="60"/>
      </w:pPr>
      <w:r>
        <w:t>Tất cả các báo cáo sẽ được xem xét nghiêm túc và bảo mật thông tin sẽ được bảo đảm trong suốt quá trình điều tra.</w:t>
      </w:r>
    </w:p>
    <w:p>
      <w:pPr>
        <w:pStyle w:val="ListBullet"/>
        <w:spacing w:after="60"/>
      </w:pPr>
      <w:r>
        <w:t>Nhân viên có thể báo cáo trực tiếp cho cán bộ nhân sự hoặc các thành viên trong ban lãnh đạo nếu cảm thấy cần thiết.</w:t>
      </w:r>
    </w:p>
    <w:p>
      <w:pPr>
        <w:pStyle w:val="Heading2"/>
        <w:spacing w:before="200" w:after="80"/>
      </w:pPr>
      <w:r>
        <w:t>3.3. Quy trình điều tra</w:t>
      </w:r>
    </w:p>
    <w:p>
      <w:pPr>
        <w:pStyle w:val="ListBullet"/>
        <w:spacing w:after="60"/>
      </w:pPr>
      <w:r>
        <w:t>Khi nhận được báo cáo, bộ phận nhân sự sẽ tiến hành xác minh thông tin trong vòng 5 ngày làm việc.</w:t>
      </w:r>
    </w:p>
    <w:p>
      <w:pPr>
        <w:pStyle w:val="ListBullet"/>
        <w:spacing w:after="60"/>
      </w:pPr>
      <w:r>
        <w:t>Các bên liên quan sẽ được mời phỏng vấn để cung cấp thông tin chi tiết về sự việc.</w:t>
      </w:r>
    </w:p>
    <w:p>
      <w:pPr>
        <w:pStyle w:val="ListBullet"/>
        <w:spacing w:after="60"/>
      </w:pPr>
      <w:r>
        <w:t>Sau khi hoàn tất điều tra, kết quả sẽ được thông báo cho các bên liên quan trong vòng 10 ngày làm việc.</w:t>
      </w:r>
    </w:p>
    <w:p>
      <w:pPr>
        <w:pStyle w:val="Heading2"/>
        <w:spacing w:before="200" w:after="80"/>
      </w:pPr>
      <w:r>
        <w:t>3.4. Bảo vệ người tố cáo</w:t>
      </w:r>
    </w:p>
    <w:p>
      <w:pPr>
        <w:pStyle w:val="ListBullet"/>
        <w:spacing w:after="60"/>
      </w:pPr>
      <w:r>
        <w:t>Công ty cam kết bảo vệ quyền lợi của người tố cáo, không để xảy ra tình trạng trả thù hoặc phân biệt đối xử.</w:t>
      </w:r>
    </w:p>
    <w:p>
      <w:pPr>
        <w:pStyle w:val="ListBullet"/>
        <w:spacing w:after="60"/>
      </w:pPr>
      <w:r>
        <w:t>Nếu người tố cáo bị quấy rối hoặc trả thù sau khi báo cáo, sẽ có biện pháp can thiệp kịp thời.</w:t>
      </w:r>
    </w:p>
    <w:p>
      <w:pPr>
        <w:pStyle w:val="ListBullet"/>
        <w:spacing w:after="60"/>
      </w:pPr>
      <w:r>
        <w:t>Người tố cáo sẽ được thông báo về kết quả điều tra và các biện pháp bảo vệ sẽ được thực hiện.</w:t>
      </w:r>
    </w:p>
    <w:p>
      <w:pPr>
        <w:pStyle w:val="Heading2"/>
        <w:spacing w:before="200" w:after="80"/>
      </w:pPr>
      <w:r>
        <w:t>3.5. Mức kỷ luật với người vi phạm</w:t>
      </w:r>
    </w:p>
    <w:p>
      <w:pPr>
        <w:pStyle w:val="ListBullet"/>
        <w:spacing w:after="60"/>
      </w:pPr>
      <w:r>
        <w:t>Những cá nhân vi phạm quy định này sẽ bị xử lý nghiêm khắc theo quy định của Công ty.</w:t>
      </w:r>
    </w:p>
    <w:p>
      <w:pPr>
        <w:pStyle w:val="ListBullet"/>
        <w:spacing w:after="60"/>
      </w:pPr>
      <w:r>
        <w:t>Mức kỷ luật có thể bao gồm cảnh cáo, tạm đình chỉ công việc hoặc chấm dứt hợp đồng lao động tùy theo mức độ vi phạm.</w:t>
      </w:r>
    </w:p>
    <w:p>
      <w:pPr>
        <w:pStyle w:val="ListBullet"/>
        <w:spacing w:after="60"/>
      </w:pPr>
      <w:r>
        <w:t>Công ty sẽ công khai kết quả xử lý vi phạm cho tất cả nhân viên để đảm bảo tính minh bạch.</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HÀNH VI VI PHẠM</w:t>
            </w:r>
          </w:p>
        </w:tc>
        <w:tc>
          <w:tcPr>
            <w:tcW w:type="dxa" w:w="3135"/>
          </w:tcPr>
          <w:p>
            <w:r>
              <w:rPr>
                <w:b/>
              </w:rPr>
              <w:t>HÌNH THỨC XỬ LÝ</w:t>
            </w:r>
          </w:p>
        </w:tc>
        <w:tc>
          <w:tcPr>
            <w:tcW w:type="dxa" w:w="3135"/>
          </w:tcPr>
          <w:p>
            <w:r>
              <w:rPr>
                <w:b/>
              </w:rPr>
              <w:t>MỨC TIỀN PHẠT (VNĐ)</w:t>
            </w:r>
          </w:p>
        </w:tc>
      </w:tr>
      <w:tr>
        <w:tc>
          <w:tcPr>
            <w:tcW w:type="dxa" w:w="3135"/>
          </w:tcPr>
          <w:p>
            <w:r>
              <w:t>Quấy rối tình dục lần đầu</w:t>
            </w:r>
          </w:p>
        </w:tc>
        <w:tc>
          <w:tcPr>
            <w:tcW w:type="dxa" w:w="3135"/>
          </w:tcPr>
          <w:p>
            <w:r>
              <w:t>Cảnh cáo</w:t>
            </w:r>
          </w:p>
        </w:tc>
        <w:tc>
          <w:tcPr>
            <w:tcW w:type="dxa" w:w="3135"/>
          </w:tcPr>
          <w:p>
            <w:r>
              <w:t>5.000.000</w:t>
            </w:r>
          </w:p>
        </w:tc>
      </w:tr>
      <w:tr>
        <w:tc>
          <w:tcPr>
            <w:tcW w:type="dxa" w:w="3135"/>
          </w:tcPr>
          <w:p>
            <w:r>
              <w:t>Quấy rối tình dục lần thứ hai</w:t>
            </w:r>
          </w:p>
        </w:tc>
        <w:tc>
          <w:tcPr>
            <w:tcW w:type="dxa" w:w="3135"/>
          </w:tcPr>
          <w:p>
            <w:r>
              <w:t>Tạm đình chỉ 1 tháng</w:t>
            </w:r>
          </w:p>
        </w:tc>
        <w:tc>
          <w:tcPr>
            <w:tcW w:type="dxa" w:w="3135"/>
          </w:tcPr>
          <w:p>
            <w:r>
              <w:t>10.000.000</w:t>
            </w:r>
          </w:p>
        </w:tc>
      </w:tr>
      <w:tr>
        <w:tc>
          <w:tcPr>
            <w:tcW w:type="dxa" w:w="3135"/>
          </w:tcPr>
          <w:p>
            <w:r>
              <w:t>Quấy rối tâm lý</w:t>
            </w:r>
          </w:p>
        </w:tc>
        <w:tc>
          <w:tcPr>
            <w:tcW w:type="dxa" w:w="3135"/>
          </w:tcPr>
          <w:p>
            <w:r>
              <w:t>Chấm dứt hợp đồng</w:t>
            </w:r>
          </w:p>
        </w:tc>
        <w:tc>
          <w:tcPr>
            <w:tcW w:type="dxa" w:w="3135"/>
          </w:tcPr>
          <w:p>
            <w:r>
              <w:t>15.000.000</w:t>
            </w:r>
          </w:p>
        </w:tc>
      </w:tr>
      <w:tr>
        <w:tc>
          <w:tcPr>
            <w:tcW w:type="dxa" w:w="3135"/>
          </w:tcPr>
          <w:p>
            <w:r>
              <w:t>Quấy rối quyền lực</w:t>
            </w:r>
          </w:p>
        </w:tc>
        <w:tc>
          <w:tcPr>
            <w:tcW w:type="dxa" w:w="3135"/>
          </w:tcPr>
          <w:p>
            <w:r>
              <w:t>Chấm dứt hợp đồng</w:t>
            </w:r>
          </w:p>
        </w:tc>
        <w:tc>
          <w:tcPr>
            <w:tcW w:type="dxa" w:w="3135"/>
          </w:tcPr>
          <w:p>
            <w:r>
              <w:t>20.000.000</w:t>
            </w:r>
          </w:p>
        </w:tc>
      </w:tr>
    </w:tbl>
    <w:p/>
    <w:p>
      <w:pPr>
        <w:pStyle w:val="Heading1"/>
        <w:spacing w:before="280" w:after="120"/>
      </w:pPr>
      <w:r>
        <w:t>IV. TRÁCH NHIỆM CỦA CÁC BỘ PHẬN VÀ CÁ NHÂN</w:t>
      </w:r>
    </w:p>
    <w:tbl>
      <w:tblPr>
        <w:tblStyle w:val="TableGrid"/>
        <w:tblW w:type="auto" w:w="0"/>
        <w:tblLook w:firstColumn="1" w:firstRow="1" w:lastColumn="0" w:lastRow="0" w:noHBand="0" w:noVBand="1" w:val="04A0"/>
      </w:tblPr>
      <w:tblGrid>
        <w:gridCol w:w="4702"/>
        <w:gridCol w:w="4702"/>
      </w:tblGrid>
      <w:tr>
        <w:tc>
          <w:tcPr>
            <w:tcW w:type="dxa" w:w="4702"/>
          </w:tcPr>
          <w:p>
            <w:r>
              <w:rPr>
                <w:b/>
              </w:rPr>
              <w:t>BỘ PHẬN</w:t>
            </w:r>
          </w:p>
        </w:tc>
        <w:tc>
          <w:tcPr>
            <w:tcW w:type="dxa" w:w="4702"/>
          </w:tcPr>
          <w:p>
            <w:r>
              <w:rPr>
                <w:b/>
              </w:rPr>
              <w:t>TRÁCH NHIỆM</w:t>
            </w:r>
          </w:p>
        </w:tc>
      </w:tr>
      <w:tr>
        <w:tc>
          <w:tcPr>
            <w:tcW w:type="dxa" w:w="4702"/>
          </w:tcPr>
          <w:p>
            <w:r>
              <w:t>Bộ phận Nhân sự</w:t>
            </w:r>
          </w:p>
        </w:tc>
        <w:tc>
          <w:tcPr>
            <w:tcW w:type="dxa" w:w="4702"/>
          </w:tcPr>
          <w:p>
            <w:r>
              <w:t>1. Tiếp nhận và xử lý các báo cáo quấy rối. 2. Thực hiện quy trình điều tra theo quy định. 3. Đảm bảo bảo mật thông tin và bảo vệ người tố cáo.</w:t>
            </w:r>
          </w:p>
        </w:tc>
      </w:tr>
      <w:tr>
        <w:tc>
          <w:tcPr>
            <w:tcW w:type="dxa" w:w="4702"/>
          </w:tcPr>
          <w:p>
            <w:r>
              <w:t>Ban Giám đốc</w:t>
            </w:r>
          </w:p>
        </w:tc>
        <w:tc>
          <w:tcPr>
            <w:tcW w:type="dxa" w:w="4702"/>
          </w:tcPr>
          <w:p>
            <w:r>
              <w:t>1. Cam kết thực hiện các biện pháp phòng chống quấy rối. 2. Giám sát và đánh giá việc thực hiện quy định. 3. Đưa ra các chính sách khuyến khích môi trường làm việc an toàn.</w:t>
            </w:r>
          </w:p>
        </w:tc>
      </w:tr>
      <w:tr>
        <w:tc>
          <w:tcPr>
            <w:tcW w:type="dxa" w:w="4702"/>
          </w:tcPr>
          <w:p>
            <w:r>
              <w:t>Cán bộ quản lý</w:t>
            </w:r>
          </w:p>
        </w:tc>
        <w:tc>
          <w:tcPr>
            <w:tcW w:type="dxa" w:w="4702"/>
          </w:tcPr>
          <w:p>
            <w:r>
              <w:t>1. Đảm bảo thông tin về quy định được phổ biến đến toàn thể nhân viên. 2. Theo dõi và hỗ trợ nhân viên trong việc báo cáo các hành vi quấy rối. 3. Hỗ trợ bộ phận nhân sự trong việc điều tra và xử lý vụ việc.</w:t>
            </w:r>
          </w:p>
        </w:tc>
      </w:tr>
      <w:tr>
        <w:tc>
          <w:tcPr>
            <w:tcW w:type="dxa" w:w="4702"/>
          </w:tcPr>
          <w:p>
            <w:r>
              <w:t>Nhân viên</w:t>
            </w:r>
          </w:p>
        </w:tc>
        <w:tc>
          <w:tcPr>
            <w:tcW w:type="dxa" w:w="4702"/>
          </w:tcPr>
          <w:p>
            <w:r>
              <w:t>1. Thực hiện quyền và nghĩa vụ báo cáo các hành vi quấy rối. 2. Tham gia vào các hoạt động đào tạo về phòng chống quấy rối. 3. Hỗ trợ đồng nghiệp nếu họ gặp phải tình huống quấy rối.</w:t>
            </w:r>
          </w:p>
        </w:tc>
      </w:tr>
    </w:tbl>
    <w:p/>
    <w:p>
      <w:pPr>
        <w:pStyle w:val="Heading1"/>
        <w:spacing w:before="280" w:after="120"/>
      </w:pPr>
      <w:r>
        <w:t>V. CHẾ TÀI XỬ LÝ VI PHẠM</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rPr>
              <w:t>MỨC VI PHẠM</w:t>
            </w:r>
          </w:p>
        </w:tc>
        <w:tc>
          <w:tcPr>
            <w:tcW w:type="dxa" w:w="1881"/>
          </w:tcPr>
          <w:p>
            <w:r>
              <w:rPr>
                <w:b/>
              </w:rPr>
              <w:t>HÀNH VI VI PHẠM</w:t>
            </w:r>
          </w:p>
        </w:tc>
        <w:tc>
          <w:tcPr>
            <w:tcW w:type="dxa" w:w="1881"/>
          </w:tcPr>
          <w:p>
            <w:r>
              <w:rPr>
                <w:b/>
              </w:rPr>
              <w:t>SỐ LẦN</w:t>
            </w:r>
          </w:p>
        </w:tc>
        <w:tc>
          <w:tcPr>
            <w:tcW w:type="dxa" w:w="1881"/>
          </w:tcPr>
          <w:p>
            <w:r>
              <w:rPr>
                <w:b/>
              </w:rPr>
              <w:t>HÌNH THỨC XỬ LÝ</w:t>
            </w:r>
          </w:p>
        </w:tc>
        <w:tc>
          <w:tcPr>
            <w:tcW w:type="dxa" w:w="1881"/>
          </w:tcPr>
          <w:p>
            <w:r>
              <w:rPr>
                <w:b/>
              </w:rPr>
              <w:t>MỨC TIỀN PHẠT (VNĐ)</w:t>
            </w:r>
          </w:p>
        </w:tc>
      </w:tr>
      <w:tr>
        <w:tc>
          <w:tcPr>
            <w:tcW w:type="dxa" w:w="1881"/>
          </w:tcPr>
          <w:p>
            <w:r>
              <w:t>1</w:t>
            </w:r>
          </w:p>
        </w:tc>
        <w:tc>
          <w:tcPr>
            <w:tcW w:type="dxa" w:w="1881"/>
          </w:tcPr>
          <w:p>
            <w:r>
              <w:t>Quấy rối tình dục</w:t>
            </w:r>
          </w:p>
        </w:tc>
        <w:tc>
          <w:tcPr>
            <w:tcW w:type="dxa" w:w="1881"/>
          </w:tcPr>
          <w:p>
            <w:r>
              <w:t>Lần đầu</w:t>
            </w:r>
          </w:p>
        </w:tc>
        <w:tc>
          <w:tcPr>
            <w:tcW w:type="dxa" w:w="1881"/>
          </w:tcPr>
          <w:p>
            <w:r>
              <w:t>Cảnh cáo</w:t>
            </w:r>
          </w:p>
        </w:tc>
        <w:tc>
          <w:tcPr>
            <w:tcW w:type="dxa" w:w="1881"/>
          </w:tcPr>
          <w:p>
            <w:r>
              <w:t>5.000.000</w:t>
            </w:r>
          </w:p>
        </w:tc>
      </w:tr>
      <w:tr>
        <w:tc>
          <w:tcPr>
            <w:tcW w:type="dxa" w:w="1881"/>
          </w:tcPr>
          <w:p>
            <w:r>
              <w:t>2</w:t>
            </w:r>
          </w:p>
        </w:tc>
        <w:tc>
          <w:tcPr>
            <w:tcW w:type="dxa" w:w="1881"/>
          </w:tcPr>
          <w:p>
            <w:r>
              <w:t>Quấy rối tình dục</w:t>
            </w:r>
          </w:p>
        </w:tc>
        <w:tc>
          <w:tcPr>
            <w:tcW w:type="dxa" w:w="1881"/>
          </w:tcPr>
          <w:p>
            <w:r>
              <w:t>Lần thứ hai</w:t>
            </w:r>
          </w:p>
        </w:tc>
        <w:tc>
          <w:tcPr>
            <w:tcW w:type="dxa" w:w="1881"/>
          </w:tcPr>
          <w:p>
            <w:r>
              <w:t>Tạm đình chỉ 1 tháng</w:t>
            </w:r>
          </w:p>
        </w:tc>
        <w:tc>
          <w:tcPr>
            <w:tcW w:type="dxa" w:w="1881"/>
          </w:tcPr>
          <w:p>
            <w:r>
              <w:t>10.000.000</w:t>
            </w:r>
          </w:p>
        </w:tc>
      </w:tr>
      <w:tr>
        <w:tc>
          <w:tcPr>
            <w:tcW w:type="dxa" w:w="1881"/>
          </w:tcPr>
          <w:p>
            <w:r>
              <w:t>3</w:t>
            </w:r>
          </w:p>
        </w:tc>
        <w:tc>
          <w:tcPr>
            <w:tcW w:type="dxa" w:w="1881"/>
          </w:tcPr>
          <w:p>
            <w:r>
              <w:t>Quấy rối tâm lý</w:t>
            </w:r>
          </w:p>
        </w:tc>
        <w:tc>
          <w:tcPr>
            <w:tcW w:type="dxa" w:w="1881"/>
          </w:tcPr>
          <w:p>
            <w:r>
              <w:t>Lần đầu</w:t>
            </w:r>
          </w:p>
        </w:tc>
        <w:tc>
          <w:tcPr>
            <w:tcW w:type="dxa" w:w="1881"/>
          </w:tcPr>
          <w:p>
            <w:r>
              <w:t>Chấm dứt hợp đồng</w:t>
            </w:r>
          </w:p>
        </w:tc>
        <w:tc>
          <w:tcPr>
            <w:tcW w:type="dxa" w:w="1881"/>
          </w:tcPr>
          <w:p>
            <w:r>
              <w:t>15.000.000</w:t>
            </w:r>
          </w:p>
        </w:tc>
      </w:tr>
      <w:tr>
        <w:tc>
          <w:tcPr>
            <w:tcW w:type="dxa" w:w="1881"/>
          </w:tcPr>
          <w:p>
            <w:r>
              <w:t>4</w:t>
            </w:r>
          </w:p>
        </w:tc>
        <w:tc>
          <w:tcPr>
            <w:tcW w:type="dxa" w:w="1881"/>
          </w:tcPr>
          <w:p>
            <w:r>
              <w:t>Quấy rối quyền lực</w:t>
            </w:r>
          </w:p>
        </w:tc>
        <w:tc>
          <w:tcPr>
            <w:tcW w:type="dxa" w:w="1881"/>
          </w:tcPr>
          <w:p>
            <w:r>
              <w:t>Lần đầu</w:t>
            </w:r>
          </w:p>
        </w:tc>
        <w:tc>
          <w:tcPr>
            <w:tcW w:type="dxa" w:w="1881"/>
          </w:tcPr>
          <w:p>
            <w:r>
              <w:t>Chấm dứt hợp đồng</w:t>
            </w:r>
          </w:p>
        </w:tc>
        <w:tc>
          <w:tcPr>
            <w:tcW w:type="dxa" w:w="1881"/>
          </w:tcPr>
          <w:p>
            <w:r>
              <w:t>20.000.000</w:t>
            </w:r>
          </w:p>
        </w:tc>
      </w:tr>
    </w:tbl>
    <w:p/>
    <w:p>
      <w:pPr>
        <w:pStyle w:val="Heading1"/>
        <w:spacing w:before="280" w:after="120"/>
      </w:pPr>
      <w:r>
        <w:t>VI. ĐIỀU KHOẢN THI HÀNH</w:t>
      </w:r>
    </w:p>
    <w:p>
      <w:pPr>
        <w:spacing w:after="120"/>
      </w:pPr>
      <w:r>
        <w:t>Quy định này có hiệu lực từ ngày 01 tháng 07 năm 2026 và thay thế tất cả các văn bản quy định trước đây liên quan đến phòng chống quấy rối. Trách nhiệm phổ biến quy định này thuộc về bộ phận nhân sự và các bộ phận có liên quan trong Công ty. Các nội dung trong quy định có thể được cập nhật và sửa đổi theo sự thay đổi của pháp luật và nhu cầu thực tế của Công ty.</w:t>
      </w:r>
    </w:p>
    <w:p>
      <w:pPr>
        <w:spacing w:after="120"/>
      </w:pPr>
      <w:r>
        <w:t>TP. Ho Chi Minh, ngày 01 tháng 07 năm 2026</w:t>
      </w:r>
    </w:p>
    <w:p>
      <w:pPr>
        <w:pStyle w:val="Heading1"/>
        <w:spacing w:before="280" w:after="120"/>
      </w:pPr>
      <w:r>
        <w:t>GIÁM ĐỐC ĐIỀU HÀNH</w:t>
      </w:r>
    </w:p>
    <w:p>
      <w:pPr>
        <w:spacing w:after="120"/>
      </w:pPr>
      <w:r>
        <w:t>Nguyễn Minh Thành</w:t>
      </w:r>
    </w:p>
    <w:p/>
    <w:p>
      <w:pPr>
        <w:jc w:val="right"/>
      </w:pPr>
      <w:r>
        <w:rPr>
          <w:i/>
        </w:rPr>
        <w:t>TP. Hồ Chí Minh, ngày 01 tháng 07 năm 2026</w:t>
      </w:r>
    </w:p>
    <w:p>
      <w:pPr>
        <w:jc w:val="right"/>
      </w:pPr>
      <w:r>
        <w:rPr>
          <w:b/>
        </w:rPr>
        <w:t>GIÁM ĐỐC ĐIỀU HÀNH</w:t>
      </w:r>
    </w:p>
    <w:p/>
    <w:p/>
    <w:p/>
    <w:p>
      <w:pPr>
        <w:jc w:val="right"/>
      </w:pPr>
      <w:r>
        <w:rPr>
          <w:b/>
        </w:rPr>
        <w:t>Nguyễn Minh Thành</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