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CÔNG TY TNHH CÔNG NGHỆ VSF</w:t>
      </w:r>
    </w:p>
    <w:p>
      <w:pPr>
        <w:jc w:val="center"/>
      </w:pPr>
      <w:r>
        <w:rPr>
          <w:sz w:val="22"/>
        </w:rPr>
        <w:t>Số: VSF/46_QD_CHE_DO_OM_DAU_</w:t>
      </w:r>
    </w:p>
    <w:p/>
    <w:p>
      <w:pPr>
        <w:jc w:val="center"/>
      </w:pPr>
      <w:r>
        <w:rPr>
          <w:b/>
          <w:sz w:val="28"/>
        </w:rPr>
        <w:t>QUY ĐỊNH CHẾ ĐỘ ỐM ĐAU VÀ TAI NẠN LAO ĐỘNG</w:t>
      </w:r>
    </w:p>
    <w:p/>
    <w:p>
      <w:pPr>
        <w:pStyle w:val="Heading1"/>
        <w:spacing w:before="280" w:after="120"/>
      </w:pPr>
      <w:r>
        <w:t>I. PHẠM VI VÀ ĐỐI TƯỢNG ÁP DỤNG</w:t>
      </w:r>
    </w:p>
    <w:p>
      <w:pPr>
        <w:spacing w:after="120"/>
      </w:pPr>
      <w:r>
        <w:t>Quy định này áp dụng cho toàn bộ nhân viên làm việc tại Công ty TNHH Công nghệ VSF, bao gồm tất cả các phòng ban và đơn vị trực thuộc công ty, trong khoảng thời gian từ ngày 01 tháng 07 năm 2026 trở đi. Nhân viên thuộc mọi loại hợp đồng lao động, bao gồm hợp đồng vô thời hạn, hợp đồng có thời hạn và thực tập sinh, đều thuộc phạm vi điều chỉnh của quy định này. Các đối tượng ngoại lệ bao gồm những nhân viên không thuộc đối tượng tham gia bảo hiểm xã hội (BHXH) theo quy định của pháp luật hiện hành, cũng như những trường hợp không có hợp đồng lao động chính thức với công ty.</w:t>
      </w:r>
    </w:p>
    <w:p>
      <w:pPr>
        <w:pStyle w:val="Heading1"/>
        <w:spacing w:before="280" w:after="120"/>
      </w:pPr>
      <w:r>
        <w:t>II. ĐỊNH NGHĨA VÀ GIẢI THÍCH THUẬT NGỮ</w:t>
      </w:r>
    </w:p>
    <w:p>
      <w:pPr>
        <w:pStyle w:val="ListNumber"/>
        <w:spacing w:after="60"/>
      </w:pPr>
      <w:r>
        <w:t>1. Ốm đau: Là tình trạng sức khỏe của người lao động bị suy giảm, cần phải nghỉ ngơi và điều trị. Ốm đau có thể do bệnh tật, tai nạn hoặc các nguyên nhân khác mà không thể làm việc trong thời gian nhất định.</w:t>
      </w:r>
    </w:p>
    <w:p>
      <w:pPr>
        <w:pStyle w:val="ListNumber"/>
        <w:spacing w:after="60"/>
      </w:pPr>
      <w:r>
        <w:t>2. Tai nạn lao động: Là sự cố xảy ra trong quá trình làm việc, làm cho người lao động bị thương tích hoặc suy giảm sức khỏe. Tai nạn lao động có thể xảy ra tại nơi làm việc hoặc trong thời gian thực hiện công việc được giao.</w:t>
      </w:r>
    </w:p>
    <w:p>
      <w:pPr>
        <w:pStyle w:val="ListNumber"/>
        <w:spacing w:after="60"/>
      </w:pPr>
      <w:r>
        <w:t>3. Bảo hiểm xã hội (BHXH): Là hệ thống các chính sách bảo hiểm được quy định bởi Nhà nước, nhằm bảo vệ quyền lợi của người lao động trong các trường hợp như ốm đau, tai nạn lao động, thai sản, hưu trí, tử tuất.</w:t>
      </w:r>
    </w:p>
    <w:p>
      <w:pPr>
        <w:pStyle w:val="ListNumber"/>
        <w:spacing w:after="60"/>
      </w:pPr>
      <w:r>
        <w:t>4. Chế độ ốm đau: Là các quyền lợi mà người lao động được hưởng khi gặp phải tình trạng ốm đau, bao gồm việc được nghỉ việc hưởng lương, chế độ chăm sóc y tế và hỗ trợ từ quỹ BHXH.</w:t>
      </w:r>
    </w:p>
    <w:p>
      <w:pPr>
        <w:pStyle w:val="ListNumber"/>
        <w:spacing w:after="60"/>
      </w:pPr>
      <w:r>
        <w:t>5. Thủ tục nộp BHXH: Là các bước cần thực hiện để người lao động có thể nhận được chế độ bảo hiểm xã hội khi xảy ra ốm đau hoặc tai nạn lao động, bao gồm việc chuẩn bị hồ sơ và nộp đơn xin hưởng chế độ.</w:t>
      </w:r>
    </w:p>
    <w:p>
      <w:pPr>
        <w:pStyle w:val="ListNumber"/>
        <w:spacing w:after="60"/>
      </w:pPr>
      <w:r>
        <w:t>6. Trợ cấp tai nạn lao động: Là khoản tiền mà người lao động được nhận từ quỹ BHXH hoặc công ty khi gặp phải tai nạn lao động, có thể là bồi thường một lần hoặc trợ cấp hàng tháng tùy thuộc vào mức độ thương tật.</w:t>
      </w:r>
    </w:p>
    <w:p>
      <w:pPr>
        <w:pStyle w:val="Heading1"/>
        <w:spacing w:before="280" w:after="120"/>
      </w:pPr>
      <w:r>
        <w:t>III. NỘI DUNG QUY ĐỊNH / QUY TRÌNH CHI TIẾT</w:t>
      </w:r>
    </w:p>
    <w:p>
      <w:pPr>
        <w:pStyle w:val="Heading2"/>
        <w:spacing w:before="200" w:after="80"/>
      </w:pPr>
      <w:r>
        <w:t>3.1. Quy định về chế độ ốm đau</w:t>
      </w:r>
    </w:p>
    <w:p>
      <w:pPr>
        <w:pStyle w:val="ListBullet"/>
        <w:spacing w:after="60"/>
      </w:pPr>
      <w:r>
        <w:t>Nhân viên khi bị ốm đau có quyền nghỉ việc và hưởng chế độ ốm đau từ BHXH theo quy định của pháp luật.</w:t>
      </w:r>
    </w:p>
    <w:p>
      <w:pPr>
        <w:pStyle w:val="ListBullet"/>
        <w:spacing w:after="60"/>
      </w:pPr>
      <w:r>
        <w:t>Mức hưởng chế độ ốm đau là 75% mức lương đóng bảo hiểm xã hội, được tính từ ngày nghỉ đầu tiên theo giấy chứng nhận nghỉ việc do cơ sở y tế có thẩm quyền cấp.</w:t>
      </w:r>
    </w:p>
    <w:p>
      <w:pPr>
        <w:pStyle w:val="ListBullet"/>
        <w:spacing w:after="60"/>
      </w:pPr>
      <w:r>
        <w:t>Nhân viên cần phải thông báo cho bộ phận Nhân sự và cấp trên trực tiếp về tình trạng sức khỏe và thời gian nghỉ làm trong vòng 24 giờ kể từ khi nghỉ.</w:t>
      </w:r>
    </w:p>
    <w:p>
      <w:pPr>
        <w:pStyle w:val="Heading2"/>
        <w:spacing w:before="200" w:after="80"/>
      </w:pPr>
      <w:r>
        <w:t>3.2. Hồ sơ y tế và thủ tục nộp BHXH</w:t>
      </w:r>
    </w:p>
    <w:p>
      <w:pPr>
        <w:pStyle w:val="ListBullet"/>
        <w:spacing w:after="60"/>
      </w:pPr>
      <w:r>
        <w:t>Để được hưởng chế độ ốm đau, nhân viên cần chuẩn bị hồ sơ bao gồm: Giấy chứng nhận nghỉ việc do bác sĩ cấp, đơn xin nghỉ ốm, bản sao sổ BHXH.</w:t>
      </w:r>
    </w:p>
    <w:p>
      <w:pPr>
        <w:pStyle w:val="ListBullet"/>
        <w:spacing w:after="60"/>
      </w:pPr>
      <w:r>
        <w:t>Hồ sơ cần được nộp cho bộ phận Nhân sự trong vòng 30 ngày kể từ ngày nhân viên bắt đầu nghỉ ốm.</w:t>
      </w:r>
    </w:p>
    <w:p>
      <w:pPr>
        <w:pStyle w:val="ListBullet"/>
        <w:spacing w:after="60"/>
      </w:pPr>
      <w:r>
        <w:t>Bộ phận Nhân sự có trách nhiệm kiểm tra, xác nhận hồ sơ và tiến hành nộp cho cơ quan bảo hiểm xã hội theo quy định.</w:t>
      </w:r>
    </w:p>
    <w:p>
      <w:pPr>
        <w:pStyle w:val="Heading2"/>
        <w:spacing w:before="200" w:after="80"/>
      </w:pPr>
      <w:r>
        <w:t>3.3. Quy định về tai nạn lao động</w:t>
      </w:r>
    </w:p>
    <w:p>
      <w:pPr>
        <w:pStyle w:val="ListBullet"/>
        <w:spacing w:after="60"/>
      </w:pPr>
      <w:r>
        <w:t>Nhân viên gặp tai nạn lao động cần báo cáo ngay cho cấp trên và bộ phận Nhân sự trong thời gian sớm nhất.</w:t>
      </w:r>
    </w:p>
    <w:p>
      <w:pPr>
        <w:pStyle w:val="ListBullet"/>
        <w:spacing w:after="60"/>
      </w:pPr>
      <w:r>
        <w:t>Tai nạn lao động được xem xét và giải quyết theo quy định của pháp luật, nhân viên có thể được hưởng trợ cấp một lần hoặc trợ cấp hàng tháng tùy vào mức độ thương tật.</w:t>
      </w:r>
    </w:p>
    <w:p>
      <w:pPr>
        <w:pStyle w:val="ListBullet"/>
        <w:spacing w:after="60"/>
      </w:pPr>
      <w:r>
        <w:t>Công ty có trách nhiệm tạo điều kiện để nhân viên được điều trị y tế kịp thời và hỗ trợ trong việc hoàn thiện hồ sơ để nhận chế độ bảo hiểm.</w:t>
      </w:r>
    </w:p>
    <w:p>
      <w:pPr>
        <w:pStyle w:val="Heading2"/>
        <w:spacing w:before="200" w:after="80"/>
      </w:pPr>
      <w:r>
        <w:t>3.4. Chế độ bồi thường tai nạn lao động</w:t>
      </w:r>
    </w:p>
    <w:p>
      <w:pPr>
        <w:pStyle w:val="ListBullet"/>
        <w:spacing w:after="60"/>
      </w:pPr>
      <w:r>
        <w:t>Trong trường hợp tai nạn lao động xảy ra, công ty sẽ tiến hành điều tra và xác minh nguyên nhân tai nạn, đồng thời xác định mức độ thiệt hại.</w:t>
      </w:r>
    </w:p>
    <w:p>
      <w:pPr>
        <w:pStyle w:val="ListBullet"/>
        <w:spacing w:after="60"/>
      </w:pPr>
      <w:r>
        <w:t>Nhân viên đủ điều kiện sẽ nhận được bồi thường theo quy định của pháp luật, bao gồm chi phí điều trị và trợ cấp một lần hoặc hàng tháng.</w:t>
      </w:r>
    </w:p>
    <w:p>
      <w:pPr>
        <w:pStyle w:val="ListBullet"/>
        <w:spacing w:after="60"/>
      </w:pPr>
      <w:r>
        <w:t>Mọi khoản bồi thường sẽ được thực hiện qua tài khoản ngân hàng của nhân viên theo quy định của công ty.</w:t>
      </w:r>
    </w:p>
    <w:p>
      <w:pPr>
        <w:pStyle w:val="Heading2"/>
        <w:spacing w:before="200" w:after="80"/>
      </w:pPr>
      <w:r>
        <w:t>3.5. Quy trình giải quyết chế độ ốm đau và tai nạn lao động</w:t>
      </w:r>
    </w:p>
    <w:p>
      <w:pPr>
        <w:pStyle w:val="ListBullet"/>
        <w:spacing w:after="60"/>
      </w:pPr>
      <w:r>
        <w:t>[BANG_BAT_DAU]</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Quy trình</w:t>
            </w:r>
          </w:p>
        </w:tc>
        <w:tc>
          <w:tcPr>
            <w:tcW w:type="dxa" w:w="3135"/>
          </w:tcPr>
          <w:p>
            <w:r>
              <w:rPr>
                <w:b/>
              </w:rPr>
              <w:t>Mô tả</w:t>
            </w:r>
          </w:p>
        </w:tc>
        <w:tc>
          <w:tcPr>
            <w:tcW w:type="dxa" w:w="3135"/>
          </w:tcPr>
          <w:p>
            <w:r>
              <w:rPr>
                <w:b/>
              </w:rPr>
              <w:t>Thời gian thực hiện</w:t>
            </w:r>
          </w:p>
        </w:tc>
      </w:tr>
      <w:tr>
        <w:tc>
          <w:tcPr>
            <w:tcW w:type="dxa" w:w="3135"/>
          </w:tcPr>
          <w:p>
            <w:r>
              <w:t>Thông báo ốm đau</w:t>
            </w:r>
          </w:p>
        </w:tc>
        <w:tc>
          <w:tcPr>
            <w:tcW w:type="dxa" w:w="3135"/>
          </w:tcPr>
          <w:p>
            <w:r>
              <w:t>Nhân viên thông báo cho cấp trên và bộ phận Nhân sự</w:t>
            </w:r>
          </w:p>
        </w:tc>
        <w:tc>
          <w:tcPr>
            <w:tcW w:type="dxa" w:w="3135"/>
          </w:tcPr>
          <w:p>
            <w:r>
              <w:t>Trong vòng 24 giờ</w:t>
            </w:r>
          </w:p>
        </w:tc>
      </w:tr>
      <w:tr>
        <w:tc>
          <w:tcPr>
            <w:tcW w:type="dxa" w:w="3135"/>
          </w:tcPr>
          <w:p>
            <w:r>
              <w:t>Chuẩn bị hồ sơ</w:t>
            </w:r>
          </w:p>
        </w:tc>
        <w:tc>
          <w:tcPr>
            <w:tcW w:type="dxa" w:w="3135"/>
          </w:tcPr>
          <w:p>
            <w:r>
              <w:t>Nhân viên chuẩn bị hồ sơ y tế và đơn xin nghỉ ốm</w:t>
            </w:r>
          </w:p>
        </w:tc>
        <w:tc>
          <w:tcPr>
            <w:tcW w:type="dxa" w:w="3135"/>
          </w:tcPr>
          <w:p>
            <w:r>
              <w:t>Trong vòng 30 ngày</w:t>
            </w:r>
          </w:p>
        </w:tc>
      </w:tr>
      <w:tr>
        <w:tc>
          <w:tcPr>
            <w:tcW w:type="dxa" w:w="3135"/>
          </w:tcPr>
          <w:p>
            <w:r>
              <w:t>Nộp hồ sơ</w:t>
            </w:r>
          </w:p>
        </w:tc>
        <w:tc>
          <w:tcPr>
            <w:tcW w:type="dxa" w:w="3135"/>
          </w:tcPr>
          <w:p>
            <w:r>
              <w:t>Bộ phận Nhân sự tiếp nhận và nộp hồ sơ cho BHXH</w:t>
            </w:r>
          </w:p>
        </w:tc>
        <w:tc>
          <w:tcPr>
            <w:tcW w:type="dxa" w:w="3135"/>
          </w:tcPr>
          <w:p>
            <w:r>
              <w:t>Trong vòng 5 ngày làm việc</w:t>
            </w:r>
          </w:p>
        </w:tc>
      </w:tr>
      <w:tr>
        <w:tc>
          <w:tcPr>
            <w:tcW w:type="dxa" w:w="3135"/>
          </w:tcPr>
          <w:p>
            <w:r>
              <w:t>Giải quyết chế độ</w:t>
            </w:r>
          </w:p>
        </w:tc>
        <w:tc>
          <w:tcPr>
            <w:tcW w:type="dxa" w:w="3135"/>
          </w:tcPr>
          <w:p>
            <w:r>
              <w:t>Cơ quan BHXH giải quyết chế độ cho nhân viên</w:t>
            </w:r>
          </w:p>
        </w:tc>
        <w:tc>
          <w:tcPr>
            <w:tcW w:type="dxa" w:w="3135"/>
          </w:tcPr>
          <w:p>
            <w:r>
              <w:t>Theo quy định của BHXH</w:t>
            </w:r>
          </w:p>
        </w:tc>
      </w:tr>
    </w:tbl>
    <w:p/>
    <w:p>
      <w:pPr>
        <w:spacing w:after="120"/>
      </w:pPr>
      <w:r>
        <w:t>[BANG_KET_THUC]</w:t>
      </w:r>
    </w:p>
    <w:p>
      <w:pPr>
        <w:pStyle w:val="Heading1"/>
        <w:spacing w:before="280" w:after="120"/>
      </w:pPr>
      <w:r>
        <w:t>IV. TRÁCH NHIỆM CỦA CÁC BỘ PHẬN VÀ CÁ NHÂN</w:t>
      </w:r>
    </w:p>
    <w:p>
      <w:pPr>
        <w:pStyle w:val="ListNumber"/>
        <w:spacing w:after="60"/>
      </w:pPr>
      <w:r>
        <w:t>1. Trách nhiệm của bộ phận Nhân sự</w:t>
      </w:r>
    </w:p>
    <w:p>
      <w:pPr>
        <w:pStyle w:val="ListBullet"/>
        <w:spacing w:after="60"/>
      </w:pPr>
      <w:r>
        <w:t>Tiếp nhận và xử lý hồ sơ ốm đau, tai nạn lao động của nhân viên.</w:t>
      </w:r>
    </w:p>
    <w:p>
      <w:pPr>
        <w:pStyle w:val="ListBullet"/>
        <w:spacing w:after="60"/>
      </w:pPr>
      <w:r>
        <w:t>Thực hiện các thủ tục cần thiết để nộp hồ sơ cho cơ quan BHXH.</w:t>
      </w:r>
    </w:p>
    <w:p>
      <w:pPr>
        <w:pStyle w:val="ListBullet"/>
        <w:spacing w:after="60"/>
      </w:pPr>
      <w:r>
        <w:t>Cung cấp thông tin và hướng dẫn cho nhân viên về chế độ ốm đau và tai nạn lao động.</w:t>
      </w:r>
    </w:p>
    <w:p>
      <w:pPr>
        <w:pStyle w:val="ListNumber"/>
        <w:spacing w:after="60"/>
      </w:pPr>
      <w:r>
        <w:t>2. Trách nhiệm của cán bộ quản lý</w:t>
      </w:r>
    </w:p>
    <w:p>
      <w:pPr>
        <w:pStyle w:val="ListBullet"/>
        <w:spacing w:after="60"/>
      </w:pPr>
      <w:r>
        <w:t>Theo dõi và quản lý tình hình sức khỏe của nhân viên trong bộ phận.</w:t>
      </w:r>
    </w:p>
    <w:p>
      <w:pPr>
        <w:pStyle w:val="ListBullet"/>
        <w:spacing w:after="60"/>
      </w:pPr>
      <w:r>
        <w:t>Đảm bảo nhân viên báo cáo kịp thời về tình trạng ốm đau, tai nạn lao động.</w:t>
      </w:r>
    </w:p>
    <w:p>
      <w:pPr>
        <w:pStyle w:val="ListBullet"/>
        <w:spacing w:after="60"/>
      </w:pPr>
      <w:r>
        <w:t>Hỗ trợ nhân viên trong việc hoàn thiện hồ sơ và thủ tục cần thiết.</w:t>
      </w:r>
    </w:p>
    <w:p>
      <w:pPr>
        <w:pStyle w:val="ListNumber"/>
        <w:spacing w:after="60"/>
      </w:pPr>
      <w:r>
        <w:t>3. Trách nhiệm của nhân viên</w:t>
      </w:r>
    </w:p>
    <w:p>
      <w:pPr>
        <w:pStyle w:val="ListBullet"/>
        <w:spacing w:after="60"/>
      </w:pPr>
      <w:r>
        <w:t>Thông báo kịp thời cho cấp trên và bộ phận Nhân sự khi gặp phải tình trạng ốm đau hoặc tai nạn lao động.</w:t>
      </w:r>
    </w:p>
    <w:p>
      <w:pPr>
        <w:pStyle w:val="ListBullet"/>
        <w:spacing w:after="60"/>
      </w:pPr>
      <w:r>
        <w:t>Chuẩn bị hồ sơ y tế đầy đủ và chính xác để nộp cho bộ phận Nhân sự.</w:t>
      </w:r>
    </w:p>
    <w:p>
      <w:pPr>
        <w:pStyle w:val="ListBullet"/>
        <w:spacing w:after="60"/>
      </w:pPr>
      <w:r>
        <w:t>Tham gia các chương trình đào tạo về an toàn lao động và sức khỏe do công ty tổ chức.</w:t>
      </w:r>
    </w:p>
    <w:p>
      <w:pPr>
        <w:pStyle w:val="ListNumber"/>
        <w:spacing w:after="60"/>
      </w:pPr>
      <w:r>
        <w:t>4. Trách nhiệm của Ban Giám đốc</w:t>
      </w:r>
    </w:p>
    <w:p>
      <w:pPr>
        <w:pStyle w:val="ListBullet"/>
        <w:spacing w:after="60"/>
      </w:pPr>
      <w:r>
        <w:t>Chỉ đạo và giám sát việc thực hiện quy định về chế độ ốm đau và tai nạn lao động trong công ty.</w:t>
      </w:r>
    </w:p>
    <w:p>
      <w:pPr>
        <w:pStyle w:val="ListBullet"/>
        <w:spacing w:after="60"/>
      </w:pPr>
      <w:r>
        <w:t>Đảm bảo nguồn lực cần thiết để thực hiện các chế độ bảo hiểm cho nhân viên.</w:t>
      </w:r>
    </w:p>
    <w:p>
      <w:pPr>
        <w:pStyle w:val="ListBullet"/>
        <w:spacing w:after="60"/>
      </w:pPr>
      <w:r>
        <w:t>Phê duyệt các chính sách, quy định và sửa đổi liên quan đến chế độ ốm đau và tai nạn lao động.</w:t>
      </w:r>
    </w:p>
    <w:tbl>
      <w:tblPr>
        <w:tblStyle w:val="TableGrid"/>
        <w:tblW w:type="auto" w:w="0"/>
        <w:tblLook w:firstColumn="1" w:firstRow="1" w:lastColumn="0" w:lastRow="0" w:noHBand="0" w:noVBand="1" w:val="04A0"/>
      </w:tblPr>
      <w:tblGrid>
        <w:gridCol w:w="4702"/>
        <w:gridCol w:w="4702"/>
      </w:tblGrid>
      <w:tr>
        <w:tc>
          <w:tcPr>
            <w:tcW w:type="dxa" w:w="4702"/>
          </w:tcPr>
          <w:p>
            <w:r>
              <w:rPr>
                <w:b/>
              </w:rPr>
              <w:t>Vai trò/Bộ phận</w:t>
            </w:r>
          </w:p>
        </w:tc>
        <w:tc>
          <w:tcPr>
            <w:tcW w:type="dxa" w:w="4702"/>
          </w:tcPr>
          <w:p>
            <w:r>
              <w:rPr>
                <w:b/>
              </w:rPr>
              <w:t>Trách nhiệm cụ thể</w:t>
            </w:r>
          </w:p>
        </w:tc>
      </w:tr>
      <w:tr>
        <w:tc>
          <w:tcPr>
            <w:tcW w:type="dxa" w:w="4702"/>
          </w:tcPr>
          <w:p>
            <w:r>
              <w:t>-------------------</w:t>
            </w:r>
          </w:p>
        </w:tc>
        <w:tc>
          <w:tcPr>
            <w:tcW w:type="dxa" w:w="4702"/>
          </w:tcPr>
          <w:p>
            <w:r>
              <w:t>-------------------</w:t>
            </w:r>
          </w:p>
        </w:tc>
      </w:tr>
      <w:tr>
        <w:tc>
          <w:tcPr>
            <w:tcW w:type="dxa" w:w="4702"/>
          </w:tcPr>
          <w:p>
            <w:r>
              <w:t>Bộ phận Nhân sự</w:t>
            </w:r>
          </w:p>
        </w:tc>
        <w:tc>
          <w:tcPr>
            <w:tcW w:type="dxa" w:w="4702"/>
          </w:tcPr>
          <w:p>
            <w:r>
              <w:t>Tiếp nhận hồ sơ ốm đau, nộp hồ sơ cho BHXH, tư vấn cho nhân viên</w:t>
            </w:r>
          </w:p>
        </w:tc>
      </w:tr>
      <w:tr>
        <w:tc>
          <w:tcPr>
            <w:tcW w:type="dxa" w:w="4702"/>
          </w:tcPr>
          <w:p>
            <w:r>
              <w:t>Cán bộ quản lý</w:t>
            </w:r>
          </w:p>
        </w:tc>
        <w:tc>
          <w:tcPr>
            <w:tcW w:type="dxa" w:w="4702"/>
          </w:tcPr>
          <w:p>
            <w:r>
              <w:t>Theo dõi tình hình sức khỏe, hỗ trợ nhân viên, báo cáo tình hình</w:t>
            </w:r>
          </w:p>
        </w:tc>
      </w:tr>
      <w:tr>
        <w:tc>
          <w:tcPr>
            <w:tcW w:type="dxa" w:w="4702"/>
          </w:tcPr>
          <w:p>
            <w:r>
              <w:t>Nhân viên</w:t>
            </w:r>
          </w:p>
        </w:tc>
        <w:tc>
          <w:tcPr>
            <w:tcW w:type="dxa" w:w="4702"/>
          </w:tcPr>
          <w:p>
            <w:r>
              <w:t>Thông báo tình trạng sức khỏe, chuẩn bị hồ sơ, tham gia đào tạo</w:t>
            </w:r>
          </w:p>
        </w:tc>
      </w:tr>
      <w:tr>
        <w:tc>
          <w:tcPr>
            <w:tcW w:type="dxa" w:w="4702"/>
          </w:tcPr>
          <w:p>
            <w:r>
              <w:t>Ban Giám đốc</w:t>
            </w:r>
          </w:p>
        </w:tc>
        <w:tc>
          <w:tcPr>
            <w:tcW w:type="dxa" w:w="4702"/>
          </w:tcPr>
          <w:p>
            <w:r>
              <w:t>Chỉ đạo thực hiện quy định, đảm bảo nguồn lực, phê duyệt chính sách</w:t>
            </w:r>
          </w:p>
        </w:tc>
      </w:tr>
    </w:tbl>
    <w:p/>
    <w:p>
      <w:pPr>
        <w:pStyle w:val="Heading1"/>
        <w:spacing w:before="280" w:after="120"/>
      </w:pPr>
      <w:r>
        <w:t>V. CHẾ TÀI XỬ LÝ VI PHẠM</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Hành vi vi phạm</w:t>
            </w:r>
          </w:p>
        </w:tc>
        <w:tc>
          <w:tcPr>
            <w:tcW w:type="dxa" w:w="2351"/>
          </w:tcPr>
          <w:p>
            <w:r>
              <w:rPr>
                <w:b/>
              </w:rPr>
              <w:t>Số lần</w:t>
            </w:r>
          </w:p>
        </w:tc>
        <w:tc>
          <w:tcPr>
            <w:tcW w:type="dxa" w:w="2351"/>
          </w:tcPr>
          <w:p>
            <w:r>
              <w:rPr>
                <w:b/>
              </w:rPr>
              <w:t>Hình thức xử lý</w:t>
            </w:r>
          </w:p>
        </w:tc>
        <w:tc>
          <w:tcPr>
            <w:tcW w:type="dxa" w:w="2351"/>
          </w:tcPr>
          <w:p>
            <w:r>
              <w:rPr>
                <w:b/>
              </w:rPr>
              <w:t>Mức tiền phạt (VNĐ)</w:t>
            </w:r>
          </w:p>
        </w:tc>
      </w:tr>
      <w:tr>
        <w:tc>
          <w:tcPr>
            <w:tcW w:type="dxa" w:w="2351"/>
          </w:tcPr>
          <w:p>
            <w:r>
              <w:t>---------------------------------</w:t>
            </w:r>
          </w:p>
        </w:tc>
        <w:tc>
          <w:tcPr>
            <w:tcW w:type="dxa" w:w="2351"/>
          </w:tcPr>
          <w:p>
            <w:r>
              <w:t>--------</w:t>
            </w:r>
          </w:p>
        </w:tc>
        <w:tc>
          <w:tcPr>
            <w:tcW w:type="dxa" w:w="2351"/>
          </w:tcPr>
          <w:p>
            <w:r>
              <w:t>----------------------------</w:t>
            </w:r>
          </w:p>
        </w:tc>
        <w:tc>
          <w:tcPr>
            <w:tcW w:type="dxa" w:w="2351"/>
          </w:tcPr>
          <w:p>
            <w:r>
              <w:t>---------------------</w:t>
            </w:r>
          </w:p>
        </w:tc>
      </w:tr>
      <w:tr>
        <w:tc>
          <w:tcPr>
            <w:tcW w:type="dxa" w:w="2351"/>
          </w:tcPr>
          <w:p>
            <w:r>
              <w:t>Không thông báo ốm đau kịp thời</w:t>
            </w:r>
          </w:p>
        </w:tc>
        <w:tc>
          <w:tcPr>
            <w:tcW w:type="dxa" w:w="2351"/>
          </w:tcPr>
          <w:p>
            <w:r>
              <w:t>1 lần</w:t>
            </w:r>
          </w:p>
        </w:tc>
        <w:tc>
          <w:tcPr>
            <w:tcW w:type="dxa" w:w="2351"/>
          </w:tcPr>
          <w:p>
            <w:r>
              <w:t>Cảnh cáo</w:t>
            </w:r>
          </w:p>
        </w:tc>
        <w:tc>
          <w:tcPr>
            <w:tcW w:type="dxa" w:w="2351"/>
          </w:tcPr>
          <w:p>
            <w:r>
              <w:t>500.000</w:t>
            </w:r>
          </w:p>
        </w:tc>
      </w:tr>
      <w:tr>
        <w:tc>
          <w:tcPr>
            <w:tcW w:type="dxa" w:w="2351"/>
          </w:tcPr>
          <w:p>
            <w:r>
              <w:t>Nộp hồ sơ không đầy đủ</w:t>
            </w:r>
          </w:p>
        </w:tc>
        <w:tc>
          <w:tcPr>
            <w:tcW w:type="dxa" w:w="2351"/>
          </w:tcPr>
          <w:p>
            <w:r>
              <w:t>2 lần</w:t>
            </w:r>
          </w:p>
        </w:tc>
        <w:tc>
          <w:tcPr>
            <w:tcW w:type="dxa" w:w="2351"/>
          </w:tcPr>
          <w:p>
            <w:r>
              <w:t>Phạt tiền</w:t>
            </w:r>
          </w:p>
        </w:tc>
        <w:tc>
          <w:tcPr>
            <w:tcW w:type="dxa" w:w="2351"/>
          </w:tcPr>
          <w:p>
            <w:r>
              <w:t>1.000.000</w:t>
            </w:r>
          </w:p>
        </w:tc>
      </w:tr>
      <w:tr>
        <w:tc>
          <w:tcPr>
            <w:tcW w:type="dxa" w:w="2351"/>
          </w:tcPr>
          <w:p>
            <w:r>
              <w:t>Không tham gia đào tạo an toàn</w:t>
            </w:r>
          </w:p>
        </w:tc>
        <w:tc>
          <w:tcPr>
            <w:tcW w:type="dxa" w:w="2351"/>
          </w:tcPr>
          <w:p>
            <w:r>
              <w:t>3 lần</w:t>
            </w:r>
          </w:p>
        </w:tc>
        <w:tc>
          <w:tcPr>
            <w:tcW w:type="dxa" w:w="2351"/>
          </w:tcPr>
          <w:p>
            <w:r>
              <w:t>Đình chỉ công việc tạm thời</w:t>
            </w:r>
          </w:p>
        </w:tc>
        <w:tc>
          <w:tcPr>
            <w:tcW w:type="dxa" w:w="2351"/>
          </w:tcPr>
          <w:p>
            <w:r>
              <w:t>2.000.000</w:t>
            </w:r>
          </w:p>
        </w:tc>
      </w:tr>
      <w:tr>
        <w:tc>
          <w:tcPr>
            <w:tcW w:type="dxa" w:w="2351"/>
          </w:tcPr>
          <w:p>
            <w:r>
              <w:t>Không thực hiện báo cáo tai nạn</w:t>
            </w:r>
          </w:p>
        </w:tc>
        <w:tc>
          <w:tcPr>
            <w:tcW w:type="dxa" w:w="2351"/>
          </w:tcPr>
          <w:p>
            <w:r>
              <w:t>1 lần</w:t>
            </w:r>
          </w:p>
        </w:tc>
        <w:tc>
          <w:tcPr>
            <w:tcW w:type="dxa" w:w="2351"/>
          </w:tcPr>
          <w:p>
            <w:r>
              <w:t>Phạt tiền và trách nhiệm bồi thường</w:t>
            </w:r>
          </w:p>
        </w:tc>
        <w:tc>
          <w:tcPr>
            <w:tcW w:type="dxa" w:w="2351"/>
          </w:tcPr>
          <w:p>
            <w:r>
              <w:t>3.000.000</w:t>
            </w:r>
          </w:p>
        </w:tc>
      </w:tr>
    </w:tbl>
    <w:p/>
    <w:p>
      <w:pPr>
        <w:pStyle w:val="Heading1"/>
        <w:spacing w:before="280" w:after="120"/>
      </w:pPr>
      <w:r>
        <w:t>VI. ĐIỀU KHOẢN THI HÀNH</w:t>
      </w:r>
    </w:p>
    <w:p>
      <w:pPr>
        <w:spacing w:after="120"/>
      </w:pPr>
      <w:r>
        <w:t>Quy định này có hiệu lực từ ngày 01 tháng 07 năm 2026 và sẽ thay thế các quy định, hướng dẫn liên quan trước đây. Bộ phận Nhân sự có trách nhiệm phổ biến nội dung quy định này đến toàn thể nhân viên trong công ty. Mọi thay đổi hoặc cập nhật về quy định này sẽ được thông báo kịp thời đến các bộ phận liên quan và nhân viên. Ban Giám đốc có quyền xem xét và sửa đổi quy định này khi cần thiết để đảm bảo tính khả thi và phù hợp với quy định của pháp luật.</w:t>
      </w:r>
    </w:p>
    <w:p>
      <w:pPr>
        <w:spacing w:after="120"/>
      </w:pPr>
      <w:r>
        <w:t>TP. Ho Chi Minh, ngày 01 tháng 07 năm 2026</w:t>
      </w:r>
    </w:p>
    <w:p>
      <w:pPr>
        <w:pStyle w:val="Heading1"/>
        <w:spacing w:before="280" w:after="120"/>
      </w:pPr>
      <w:r>
        <w:t>GIAM DOC DIEU HANH</w:t>
      </w:r>
    </w:p>
    <w:p>
      <w:pPr>
        <w:spacing w:after="120"/>
      </w:pPr>
      <w:r>
        <w:t>Nguyen Minh Thanh</w:t>
      </w:r>
    </w:p>
    <w:p/>
    <w:p>
      <w:pPr>
        <w:jc w:val="right"/>
      </w:pPr>
      <w:r>
        <w:rPr>
          <w:i/>
        </w:rPr>
        <w:t>TP. Hồ Chí Minh, ngày 01 tháng 07 năm 2026</w:t>
      </w:r>
    </w:p>
    <w:p>
      <w:pPr>
        <w:jc w:val="right"/>
      </w:pPr>
      <w:r>
        <w:rPr>
          <w:b/>
        </w:rPr>
        <w:t>GIÁM ĐỐC ĐIỀU HÀNH</w:t>
      </w:r>
    </w:p>
    <w:p/>
    <w:p/>
    <w:p/>
    <w:p>
      <w:pPr>
        <w:jc w:val="right"/>
      </w:pPr>
      <w:r>
        <w:rPr>
          <w:b/>
        </w:rPr>
        <w:t>Nguyễn Minh Thành</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