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VSF/48_QD_TRO_CAP_AN_TRU</w:t>
      </w:r>
    </w:p>
    <w:p/>
    <w:p>
      <w:pPr>
        <w:jc w:val="center"/>
      </w:pPr>
      <w:r>
        <w:rPr>
          <w:b/>
          <w:sz w:val="28"/>
        </w:rPr>
        <w:t>QUY ĐỊNH TRỢ CẤP ĂN TRƯA, ĐIỆN THOẠI VÀ CÁC PHỤ CẤP CỐ ĐỊNH</w:t>
      </w:r>
    </w:p>
    <w:p/>
    <w:p>
      <w:pPr>
        <w:pStyle w:val="Heading1"/>
        <w:spacing w:before="280" w:after="120"/>
      </w:pPr>
      <w:r>
        <w:t>I. PHẠM VI VÀ ĐỐI TƯỢNG ÁP DỤNG</w:t>
      </w:r>
    </w:p>
    <w:p>
      <w:pPr>
        <w:spacing w:after="120"/>
      </w:pPr>
      <w:r>
        <w:t>Quy định này áp dụng cho toàn bộ nhân viên của Công ty TNHH Công nghệ VSF, bao gồm tất cả các phòng ban và bộ phận trong công ty. Thời gian áp dụng quy định bắt đầu từ ngày 01 tháng 07 năm 2026. Đối tượng được hưởng các khoản trợ cấp bao gồm nhân viên chính thức, nhân viên thử việc, và các cá nhân có hợp đồng lao động với công ty. Tuy nhiên, những đối tượng như thực tập sinh, nhân viên thời vụ hoặc những người làm việc theo hợp đồng ngắn hạn sẽ không nằm trong phạm vi áp dụng của quy định này. Quy định này nhằm đảm bảo quyền lợi của nhân viên trong việc hỗ trợ chi phí ăn uống, điện thoại và các phụ cấp cố định, đồng thời tạo điều kiện thuận lợi cho nhân viên trong công việc và sinh hoạt hàng ngày.</w:t>
      </w:r>
    </w:p>
    <w:p>
      <w:pPr>
        <w:pStyle w:val="Heading1"/>
        <w:spacing w:before="280" w:after="120"/>
      </w:pPr>
      <w:r>
        <w:t>II. ĐỊNH NGHĨA VÀ GIẢI THÍCH THUẬT NGỮ</w:t>
      </w:r>
    </w:p>
    <w:p>
      <w:pPr>
        <w:pStyle w:val="ListNumber"/>
        <w:spacing w:after="60"/>
      </w:pPr>
      <w:r>
        <w:t>1. Trợ cấp ăn trưa: Là khoản tiền hoặc suất ăn mà công ty hỗ trợ cho nhân viên trong thời gian làm việc, nhằm đảm bảo nhân viên có bữa ăn đầy đủ dinh dưỡng trong giờ làm việc.</w:t>
      </w:r>
    </w:p>
    <w:p>
      <w:pPr>
        <w:pStyle w:val="ListNumber"/>
        <w:spacing w:after="60"/>
      </w:pPr>
      <w:r>
        <w:t>2. Phụ cấp điện thoại: Là khoản tiền mà công ty cấp cho nhân viên để chi trả cho các chi phí liên quan đến điện thoại, thường áp dụng cho những vị trí công việc yêu cầu liên lạc thường xuyên với khách hàng hoặc các bộ phận khác.</w:t>
      </w:r>
    </w:p>
    <w:p>
      <w:pPr>
        <w:pStyle w:val="ListNumber"/>
        <w:spacing w:after="60"/>
      </w:pPr>
      <w:r>
        <w:t>3. Phụ cấp xăng xe: Là khoản tiền hỗ trợ cho nhân viên có phương tiện cá nhân để di chuyển đến nơi làm việc, giúp giảm bớt gánh nặng chi phí đi lại cho nhân viên.</w:t>
      </w:r>
    </w:p>
    <w:p>
      <w:pPr>
        <w:pStyle w:val="ListNumber"/>
        <w:spacing w:after="60"/>
      </w:pPr>
      <w:r>
        <w:t>4. Phụ cấp chuyên cần: Là khoản tiền thưởng hoặc hỗ trợ cho những nhân viên có thái độ làm việc tích cực và đi làm đầy đủ trong một khoảng thời gian nhất định.</w:t>
      </w:r>
    </w:p>
    <w:p>
      <w:pPr>
        <w:pStyle w:val="ListNumber"/>
        <w:spacing w:after="60"/>
      </w:pPr>
      <w:r>
        <w:t>5. Điều kiện hưởng: Là các tiêu chí mà nhân viên cần đáp ứng để đủ điều kiện nhận các khoản trợ cấp và phụ cấp theo quy định của công ty.</w:t>
      </w:r>
    </w:p>
    <w:p>
      <w:pPr>
        <w:pStyle w:val="ListNumber"/>
        <w:spacing w:after="60"/>
      </w:pPr>
      <w:r>
        <w:t>6. Chi trả hàng tháng: Là quy trình mà công ty thực hiện để thanh toán các khoản trợ cấp và phụ cấp cho nhân viên vào cuối mỗi tháng cùng với lương.</w:t>
      </w:r>
    </w:p>
    <w:p>
      <w:pPr>
        <w:pStyle w:val="Heading1"/>
        <w:spacing w:before="280" w:after="120"/>
      </w:pPr>
      <w:r>
        <w:t>III. NỘI DUNG QUY ĐỊNH / QUY TRÌNH CHI TIẾT</w:t>
      </w:r>
    </w:p>
    <w:p>
      <w:pPr>
        <w:pStyle w:val="Heading2"/>
        <w:spacing w:before="200" w:after="80"/>
      </w:pPr>
      <w:r>
        <w:t>3.1. Trợ cấp ăn trưa</w:t>
      </w:r>
    </w:p>
    <w:p>
      <w:pPr>
        <w:pStyle w:val="ListBullet"/>
        <w:spacing w:after="60"/>
      </w:pPr>
      <w:r>
        <w:t>Mức hỗ trợ: Nhân viên sẽ nhận trợ cấp ăn trưa là 30.000 VNĐ/ngày làm việc.</w:t>
      </w:r>
    </w:p>
    <w:p>
      <w:pPr>
        <w:pStyle w:val="ListBullet"/>
        <w:spacing w:after="60"/>
      </w:pPr>
      <w:r>
        <w:t>Phương thức chi trả: Công ty sẽ chi trả khoản trợ cấp này vào cuối tháng cùng với lương.</w:t>
      </w:r>
    </w:p>
    <w:p>
      <w:pPr>
        <w:pStyle w:val="ListBullet"/>
        <w:spacing w:after="60"/>
      </w:pPr>
      <w:r>
        <w:t>Điều kiện nhận: Nhân viên phải làm việc ít nhất 50% số ngày trong tháng để đủ điều kiện nhận trợ cấp ăn trưa.</w:t>
      </w:r>
    </w:p>
    <w:p>
      <w:pPr>
        <w:pStyle w:val="Heading2"/>
        <w:spacing w:before="200" w:after="80"/>
      </w:pPr>
      <w:r>
        <w:t>3.2. Phụ cấp điện thoại</w:t>
      </w:r>
    </w:p>
    <w:p>
      <w:pPr>
        <w:pStyle w:val="ListBullet"/>
        <w:spacing w:after="60"/>
      </w:pPr>
      <w:r>
        <w:t>Đối tượng nhận: Các vị trí như nhân viên kinh doanh, quản lý dự án và các vị trí có yêu cầu liên lạc thường xuyên sẽ nhận phụ cấp điện thoại.</w:t>
      </w:r>
    </w:p>
    <w:p>
      <w:pPr>
        <w:pStyle w:val="ListBullet"/>
        <w:spacing w:after="60"/>
      </w:pPr>
      <w:r>
        <w:t>Mức hỗ trợ: Phụ cấp điện thoại sẽ là 200.000 VNĐ/tháng cho mỗi nhân viên được hưởng.</w:t>
      </w:r>
    </w:p>
    <w:p>
      <w:pPr>
        <w:pStyle w:val="ListBullet"/>
        <w:spacing w:after="60"/>
      </w:pPr>
      <w:r>
        <w:t>Chi trả: Phụ cấp này sẽ được thanh toán cùng với lương hàng tháng.</w:t>
      </w:r>
    </w:p>
    <w:p>
      <w:pPr>
        <w:pStyle w:val="Heading2"/>
        <w:spacing w:before="200" w:after="80"/>
      </w:pPr>
      <w:r>
        <w:t>3.3. Phụ cấp xăng xe</w:t>
      </w:r>
    </w:p>
    <w:p>
      <w:pPr>
        <w:pStyle w:val="ListBullet"/>
        <w:spacing w:after="60"/>
      </w:pPr>
      <w:r>
        <w:t>Đối tượng nhận: Nhân viên có phương tiện cá nhân và di chuyển đến nơi làm việc sẽ được hưởng phụ cấp này.</w:t>
      </w:r>
    </w:p>
    <w:p>
      <w:pPr>
        <w:pStyle w:val="ListBullet"/>
        <w:spacing w:after="60"/>
      </w:pPr>
      <w:r>
        <w:t>Mức hỗ trợ: Mức phụ cấp xăng xe là 300.000 VNĐ/tháng.</w:t>
      </w:r>
    </w:p>
    <w:p>
      <w:pPr>
        <w:pStyle w:val="ListBullet"/>
        <w:spacing w:after="60"/>
      </w:pPr>
      <w:r>
        <w:t>Điều kiện nhận: Nhân viên phải có mặt tại công ty ít nhất 15 ngày trong tháng để đủ điều kiện nhận phụ cấp.</w:t>
      </w:r>
    </w:p>
    <w:p>
      <w:pPr>
        <w:pStyle w:val="Heading2"/>
        <w:spacing w:before="200" w:after="80"/>
      </w:pPr>
      <w:r>
        <w:t>3.4. Phụ cấp chuyên cần</w:t>
      </w:r>
    </w:p>
    <w:p>
      <w:pPr>
        <w:pStyle w:val="ListBullet"/>
        <w:spacing w:after="60"/>
      </w:pPr>
      <w:r>
        <w:t>Mức thưởng: Nhân viên có mặt đầy đủ trong tháng sẽ nhận phụ cấp chuyên cần là 500.000 VNĐ.</w:t>
      </w:r>
    </w:p>
    <w:p>
      <w:pPr>
        <w:pStyle w:val="ListBullet"/>
        <w:spacing w:after="60"/>
      </w:pPr>
      <w:r>
        <w:t>Điều kiện: Nhân viên chỉ được tính là có mặt nếu tham gia làm việc ít nhất 22 ngày trong tháng.</w:t>
      </w:r>
    </w:p>
    <w:p>
      <w:pPr>
        <w:pStyle w:val="ListBullet"/>
        <w:spacing w:after="60"/>
      </w:pPr>
      <w:r>
        <w:t>Chi trả: Phụ cấp chuyên cần sẽ được thanh toán cùng với lương hàng tháng.</w:t>
      </w:r>
    </w:p>
    <w:p>
      <w:pPr>
        <w:pStyle w:val="Heading2"/>
        <w:spacing w:before="200" w:after="80"/>
      </w:pPr>
      <w:r>
        <w:t>3.5. Bảng tổng hợp các khoản trợ cấp và phụ cấp</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Tên khoản</w:t>
            </w:r>
          </w:p>
        </w:tc>
        <w:tc>
          <w:tcPr>
            <w:tcW w:type="dxa" w:w="3135"/>
          </w:tcPr>
          <w:p>
            <w:r>
              <w:rPr>
                <w:b/>
              </w:rPr>
              <w:t>Mức hỗ trợ</w:t>
            </w:r>
          </w:p>
        </w:tc>
        <w:tc>
          <w:tcPr>
            <w:tcW w:type="dxa" w:w="3135"/>
          </w:tcPr>
          <w:p>
            <w:r>
              <w:rPr>
                <w:b/>
              </w:rPr>
              <w:t>Điều kiện nhận</w:t>
            </w:r>
          </w:p>
        </w:tc>
      </w:tr>
      <w:tr>
        <w:tc>
          <w:tcPr>
            <w:tcW w:type="dxa" w:w="3135"/>
          </w:tcPr>
          <w:p>
            <w:r>
              <w:t>Trợ cấp ăn trưa</w:t>
            </w:r>
          </w:p>
        </w:tc>
        <w:tc>
          <w:tcPr>
            <w:tcW w:type="dxa" w:w="3135"/>
          </w:tcPr>
          <w:p>
            <w:r>
              <w:t>30.000 VNĐ/ngày</w:t>
            </w:r>
          </w:p>
        </w:tc>
        <w:tc>
          <w:tcPr>
            <w:tcW w:type="dxa" w:w="3135"/>
          </w:tcPr>
          <w:p>
            <w:r>
              <w:t>Làm việc 50% số ngày trong tháng</w:t>
            </w:r>
          </w:p>
        </w:tc>
      </w:tr>
      <w:tr>
        <w:tc>
          <w:tcPr>
            <w:tcW w:type="dxa" w:w="3135"/>
          </w:tcPr>
          <w:p>
            <w:r>
              <w:t>Phụ cấp điện thoại</w:t>
            </w:r>
          </w:p>
        </w:tc>
        <w:tc>
          <w:tcPr>
            <w:tcW w:type="dxa" w:w="3135"/>
          </w:tcPr>
          <w:p>
            <w:r>
              <w:t>200.000 VNĐ/tháng</w:t>
            </w:r>
          </w:p>
        </w:tc>
        <w:tc>
          <w:tcPr>
            <w:tcW w:type="dxa" w:w="3135"/>
          </w:tcPr>
          <w:p>
            <w:r>
              <w:t>Vị trí yêu cầu liên lạc thường xuyên</w:t>
            </w:r>
          </w:p>
        </w:tc>
      </w:tr>
      <w:tr>
        <w:tc>
          <w:tcPr>
            <w:tcW w:type="dxa" w:w="3135"/>
          </w:tcPr>
          <w:p>
            <w:r>
              <w:t>Phụ cấp xăng xe</w:t>
            </w:r>
          </w:p>
        </w:tc>
        <w:tc>
          <w:tcPr>
            <w:tcW w:type="dxa" w:w="3135"/>
          </w:tcPr>
          <w:p>
            <w:r>
              <w:t>300.000 VNĐ/tháng</w:t>
            </w:r>
          </w:p>
        </w:tc>
        <w:tc>
          <w:tcPr>
            <w:tcW w:type="dxa" w:w="3135"/>
          </w:tcPr>
          <w:p>
            <w:r>
              <w:t>Có mặt ít nhất 15 ngày trong tháng</w:t>
            </w:r>
          </w:p>
        </w:tc>
      </w:tr>
      <w:tr>
        <w:tc>
          <w:tcPr>
            <w:tcW w:type="dxa" w:w="3135"/>
          </w:tcPr>
          <w:p>
            <w:r>
              <w:t>Phụ cấp chuyên cần</w:t>
            </w:r>
          </w:p>
        </w:tc>
        <w:tc>
          <w:tcPr>
            <w:tcW w:type="dxa" w:w="3135"/>
          </w:tcPr>
          <w:p>
            <w:r>
              <w:t>500.000 VNĐ/tháng</w:t>
            </w:r>
          </w:p>
        </w:tc>
        <w:tc>
          <w:tcPr>
            <w:tcW w:type="dxa" w:w="3135"/>
          </w:tcPr>
          <w:p>
            <w:r>
              <w:t>Có mặt 22 ngày trong tháng</w:t>
            </w:r>
          </w:p>
        </w:tc>
      </w:tr>
    </w:tbl>
    <w:p/>
    <w:p>
      <w:pPr>
        <w:pStyle w:val="Heading1"/>
        <w:spacing w:before="280" w:after="120"/>
      </w:pPr>
      <w:r>
        <w:t>IV. TRÁCH NHIỆM CỦA CÁC BỘ PHẬN VÀ CÁ NHÂN</w:t>
      </w:r>
    </w:p>
    <w:p>
      <w:pPr>
        <w:pStyle w:val="ListNumber"/>
        <w:spacing w:after="60"/>
      </w:pPr>
      <w:r>
        <w:t>1. Phòng Nhân sự</w:t>
      </w:r>
    </w:p>
    <w:p>
      <w:pPr>
        <w:pStyle w:val="ListBullet"/>
        <w:spacing w:after="60"/>
      </w:pPr>
      <w:r>
        <w:t>Quản lý và theo dõi việc thực hiện các quy định về trợ cấp và phụ cấp.</w:t>
      </w:r>
    </w:p>
    <w:p>
      <w:pPr>
        <w:pStyle w:val="ListBullet"/>
        <w:spacing w:after="60"/>
      </w:pPr>
      <w:r>
        <w:t>Cung cấp thông tin và hướng dẫn cho nhân viên về quyền lợi liên quan đến trợ cấp.</w:t>
      </w:r>
    </w:p>
    <w:p>
      <w:pPr>
        <w:pStyle w:val="ListBullet"/>
        <w:spacing w:after="60"/>
      </w:pPr>
      <w:r>
        <w:t>Thực hiện thanh toán các khoản trợ cấp và phụ cấp đúng thời hạn.</w:t>
      </w:r>
    </w:p>
    <w:p>
      <w:pPr>
        <w:pStyle w:val="ListNumber"/>
        <w:spacing w:after="60"/>
      </w:pPr>
      <w:r>
        <w:t>2. Bộ phận Kế toán</w:t>
      </w:r>
    </w:p>
    <w:p>
      <w:pPr>
        <w:pStyle w:val="ListBullet"/>
        <w:spacing w:after="60"/>
      </w:pPr>
      <w:r>
        <w:t>Tính toán và phân bổ ngân sách cho các khoản trợ cấp và phụ cấp hàng tháng.</w:t>
      </w:r>
    </w:p>
    <w:p>
      <w:pPr>
        <w:pStyle w:val="ListBullet"/>
        <w:spacing w:after="60"/>
      </w:pPr>
      <w:r>
        <w:t>Đảm bảo việc thanh toán các khoản trợ cấp và phụ cấp vào cuối tháng.</w:t>
      </w:r>
    </w:p>
    <w:p>
      <w:pPr>
        <w:pStyle w:val="ListBullet"/>
        <w:spacing w:after="60"/>
      </w:pPr>
      <w:r>
        <w:t>Lưu trữ hồ sơ và chứng từ liên quan đến các khoản trợ cấp và phụ cấp.</w:t>
      </w:r>
    </w:p>
    <w:p>
      <w:pPr>
        <w:pStyle w:val="ListNumber"/>
        <w:spacing w:after="60"/>
      </w:pPr>
      <w:r>
        <w:t>3. Trưởng phòng/Bộ phận</w:t>
      </w:r>
    </w:p>
    <w:p>
      <w:pPr>
        <w:pStyle w:val="ListBullet"/>
        <w:spacing w:after="60"/>
      </w:pPr>
      <w:r>
        <w:t>Đảm bảo nhân viên trong bộ phận được thông báo rõ ràng về các quy định và quyền lợi liên quan đến trợ cấp.</w:t>
      </w:r>
    </w:p>
    <w:p>
      <w:pPr>
        <w:pStyle w:val="ListBullet"/>
        <w:spacing w:after="60"/>
      </w:pPr>
      <w:r>
        <w:t>Theo dõi và báo cáo nhân sự trong bộ phận về việc thực hiện quy định trợ cấp.</w:t>
      </w:r>
    </w:p>
    <w:p>
      <w:pPr>
        <w:pStyle w:val="ListBullet"/>
        <w:spacing w:after="60"/>
      </w:pPr>
      <w:r>
        <w:t>Đề xuất thay đổi hoặc điều chỉnh quy định nếu cần thiết.</w:t>
      </w:r>
    </w:p>
    <w:p>
      <w:pPr>
        <w:pStyle w:val="ListNumber"/>
        <w:spacing w:after="60"/>
      </w:pPr>
      <w:r>
        <w:t>4. Nhân viên</w:t>
      </w:r>
    </w:p>
    <w:p>
      <w:pPr>
        <w:pStyle w:val="ListBullet"/>
        <w:spacing w:after="60"/>
      </w:pPr>
      <w:r>
        <w:t>Đảm bảo tham gia đầy đủ trong công việc để đủ điều kiện nhận các khoản trợ cấp và phụ cấp.</w:t>
      </w:r>
    </w:p>
    <w:p>
      <w:pPr>
        <w:pStyle w:val="ListBullet"/>
        <w:spacing w:after="60"/>
      </w:pPr>
      <w:r>
        <w:t>Thực hiện đầy đủ các nghĩa vụ và trách nhiệm theo quy định của công ty.</w:t>
      </w:r>
    </w:p>
    <w:p>
      <w:pPr>
        <w:pStyle w:val="ListBullet"/>
        <w:spacing w:after="60"/>
      </w:pPr>
      <w:r>
        <w:t>Cung cấp thông tin chính xác về các điều kiện nhận trợ cấp khi có yêu cầu.</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Vai trò/Bộ phận</w:t>
            </w:r>
          </w:p>
        </w:tc>
        <w:tc>
          <w:tcPr>
            <w:tcW w:type="dxa" w:w="2351"/>
          </w:tcPr>
          <w:p>
            <w:r>
              <w:rPr>
                <w:b/>
              </w:rPr>
              <w:t>Trách nhiệm 1</w:t>
            </w:r>
          </w:p>
        </w:tc>
        <w:tc>
          <w:tcPr>
            <w:tcW w:type="dxa" w:w="2351"/>
          </w:tcPr>
          <w:p>
            <w:r>
              <w:rPr>
                <w:b/>
              </w:rPr>
              <w:t>Trách nhiệm 2</w:t>
            </w:r>
          </w:p>
        </w:tc>
        <w:tc>
          <w:tcPr>
            <w:tcW w:type="dxa" w:w="2351"/>
          </w:tcPr>
          <w:p>
            <w:r>
              <w:rPr>
                <w:b/>
              </w:rPr>
              <w:t>Trách nhiệm 3</w:t>
            </w:r>
          </w:p>
        </w:tc>
      </w:tr>
      <w:tr>
        <w:tc>
          <w:tcPr>
            <w:tcW w:type="dxa" w:w="2351"/>
          </w:tcPr>
          <w:p>
            <w:r>
              <w:t>Phòng Nhân sự</w:t>
            </w:r>
          </w:p>
        </w:tc>
        <w:tc>
          <w:tcPr>
            <w:tcW w:type="dxa" w:w="2351"/>
          </w:tcPr>
          <w:p>
            <w:r>
              <w:t>Quản lý thực hiện quy định</w:t>
            </w:r>
          </w:p>
        </w:tc>
        <w:tc>
          <w:tcPr>
            <w:tcW w:type="dxa" w:w="2351"/>
          </w:tcPr>
          <w:p>
            <w:r>
              <w:t>Cung cấp thông tin cho nhân viên</w:t>
            </w:r>
          </w:p>
        </w:tc>
        <w:tc>
          <w:tcPr>
            <w:tcW w:type="dxa" w:w="2351"/>
          </w:tcPr>
          <w:p>
            <w:r>
              <w:t>Thanh toán trợ cấp đúng hạn</w:t>
            </w:r>
          </w:p>
        </w:tc>
      </w:tr>
      <w:tr>
        <w:tc>
          <w:tcPr>
            <w:tcW w:type="dxa" w:w="2351"/>
          </w:tcPr>
          <w:p>
            <w:r>
              <w:t>Bộ phận Kế toán</w:t>
            </w:r>
          </w:p>
        </w:tc>
        <w:tc>
          <w:tcPr>
            <w:tcW w:type="dxa" w:w="2351"/>
          </w:tcPr>
          <w:p>
            <w:r>
              <w:t>Tính toán ngân sách</w:t>
            </w:r>
          </w:p>
        </w:tc>
        <w:tc>
          <w:tcPr>
            <w:tcW w:type="dxa" w:w="2351"/>
          </w:tcPr>
          <w:p>
            <w:r>
              <w:t>Thanh toán hàng tháng</w:t>
            </w:r>
          </w:p>
        </w:tc>
        <w:tc>
          <w:tcPr>
            <w:tcW w:type="dxa" w:w="2351"/>
          </w:tcPr>
          <w:p>
            <w:r>
              <w:t>Lưu trữ hồ sơ</w:t>
            </w:r>
          </w:p>
        </w:tc>
      </w:tr>
      <w:tr>
        <w:tc>
          <w:tcPr>
            <w:tcW w:type="dxa" w:w="2351"/>
          </w:tcPr>
          <w:p>
            <w:r>
              <w:t>Trưởng phòng/Bộ phận</w:t>
            </w:r>
          </w:p>
        </w:tc>
        <w:tc>
          <w:tcPr>
            <w:tcW w:type="dxa" w:w="2351"/>
          </w:tcPr>
          <w:p>
            <w:r>
              <w:t>Thông báo quy định</w:t>
            </w:r>
          </w:p>
        </w:tc>
        <w:tc>
          <w:tcPr>
            <w:tcW w:type="dxa" w:w="2351"/>
          </w:tcPr>
          <w:p>
            <w:r>
              <w:t>Theo dõi thực hiện</w:t>
            </w:r>
          </w:p>
        </w:tc>
        <w:tc>
          <w:tcPr>
            <w:tcW w:type="dxa" w:w="2351"/>
          </w:tcPr>
          <w:p>
            <w:r>
              <w:t>Đề xuất điều chỉnh</w:t>
            </w:r>
          </w:p>
        </w:tc>
      </w:tr>
      <w:tr>
        <w:tc>
          <w:tcPr>
            <w:tcW w:type="dxa" w:w="2351"/>
          </w:tcPr>
          <w:p>
            <w:r>
              <w:t>Nhân viên</w:t>
            </w:r>
          </w:p>
        </w:tc>
        <w:tc>
          <w:tcPr>
            <w:tcW w:type="dxa" w:w="2351"/>
          </w:tcPr>
          <w:p>
            <w:r>
              <w:t>Tham gia công việc</w:t>
            </w:r>
          </w:p>
        </w:tc>
        <w:tc>
          <w:tcPr>
            <w:tcW w:type="dxa" w:w="2351"/>
          </w:tcPr>
          <w:p>
            <w:r>
              <w:t>Thực hiện nghĩa vụ</w:t>
            </w:r>
          </w:p>
        </w:tc>
        <w:tc>
          <w:tcPr>
            <w:tcW w:type="dxa" w:w="2351"/>
          </w:tcPr>
          <w:p>
            <w:r>
              <w:t>Cung cấp thông tin chính xác</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Không làm đủ số ngày làm việc để nhận trợ cấp</w:t>
            </w:r>
          </w:p>
        </w:tc>
        <w:tc>
          <w:tcPr>
            <w:tcW w:type="dxa" w:w="2351"/>
          </w:tcPr>
          <w:p>
            <w:r>
              <w:t>1 lần</w:t>
            </w:r>
          </w:p>
        </w:tc>
        <w:tc>
          <w:tcPr>
            <w:tcW w:type="dxa" w:w="2351"/>
          </w:tcPr>
          <w:p>
            <w:r>
              <w:t>Nhắc nhở</w:t>
            </w:r>
          </w:p>
        </w:tc>
        <w:tc>
          <w:tcPr>
            <w:tcW w:type="dxa" w:w="2351"/>
          </w:tcPr>
          <w:p>
            <w:r>
              <w:t>100.000</w:t>
            </w:r>
          </w:p>
        </w:tc>
      </w:tr>
      <w:tr>
        <w:tc>
          <w:tcPr>
            <w:tcW w:type="dxa" w:w="2351"/>
          </w:tcPr>
          <w:p>
            <w:r>
              <w:t>Không nộp báo cáo công việc theo quy định</w:t>
            </w:r>
          </w:p>
        </w:tc>
        <w:tc>
          <w:tcPr>
            <w:tcW w:type="dxa" w:w="2351"/>
          </w:tcPr>
          <w:p>
            <w:r>
              <w:t>2 lần</w:t>
            </w:r>
          </w:p>
        </w:tc>
        <w:tc>
          <w:tcPr>
            <w:tcW w:type="dxa" w:w="2351"/>
          </w:tcPr>
          <w:p>
            <w:r>
              <w:t>Cảnh cáo</w:t>
            </w:r>
          </w:p>
        </w:tc>
        <w:tc>
          <w:tcPr>
            <w:tcW w:type="dxa" w:w="2351"/>
          </w:tcPr>
          <w:p>
            <w:r>
              <w:t>300.000</w:t>
            </w:r>
          </w:p>
        </w:tc>
      </w:tr>
      <w:tr>
        <w:tc>
          <w:tcPr>
            <w:tcW w:type="dxa" w:w="2351"/>
          </w:tcPr>
          <w:p>
            <w:r>
              <w:t>Vi phạm quy chế về trợ cấp ăn trưa</w:t>
            </w:r>
          </w:p>
        </w:tc>
        <w:tc>
          <w:tcPr>
            <w:tcW w:type="dxa" w:w="2351"/>
          </w:tcPr>
          <w:p>
            <w:r>
              <w:t>3 lần</w:t>
            </w:r>
          </w:p>
        </w:tc>
        <w:tc>
          <w:tcPr>
            <w:tcW w:type="dxa" w:w="2351"/>
          </w:tcPr>
          <w:p>
            <w:r>
              <w:t>Kỷ luật</w:t>
            </w:r>
          </w:p>
        </w:tc>
        <w:tc>
          <w:tcPr>
            <w:tcW w:type="dxa" w:w="2351"/>
          </w:tcPr>
          <w:p>
            <w:r>
              <w:t>500.000</w:t>
            </w:r>
          </w:p>
        </w:tc>
      </w:tr>
      <w:tr>
        <w:tc>
          <w:tcPr>
            <w:tcW w:type="dxa" w:w="2351"/>
          </w:tcPr>
          <w:p>
            <w:r>
              <w:t>Lợi dụng quy định để trục lợi</w:t>
            </w:r>
          </w:p>
        </w:tc>
        <w:tc>
          <w:tcPr>
            <w:tcW w:type="dxa" w:w="2351"/>
          </w:tcPr>
          <w:p>
            <w:r>
              <w:t>1 lần</w:t>
            </w:r>
          </w:p>
        </w:tc>
        <w:tc>
          <w:tcPr>
            <w:tcW w:type="dxa" w:w="2351"/>
          </w:tcPr>
          <w:p>
            <w:r>
              <w:t>Sa thải</w:t>
            </w:r>
          </w:p>
        </w:tc>
        <w:tc>
          <w:tcPr>
            <w:tcW w:type="dxa" w:w="2351"/>
          </w:tcPr>
          <w:p>
            <w:r>
              <w:t>1.000.000</w:t>
            </w:r>
          </w:p>
        </w:tc>
      </w:tr>
    </w:tbl>
    <w:p/>
    <w:p>
      <w:pPr>
        <w:pStyle w:val="Heading1"/>
        <w:spacing w:before="280" w:after="120"/>
      </w:pPr>
      <w:r>
        <w:t>VI. ĐIỀU KHOẢN THI HÀNH</w:t>
      </w:r>
    </w:p>
    <w:p>
      <w:pPr>
        <w:spacing w:after="120"/>
      </w:pPr>
      <w:r>
        <w:t>Quy định này có hiệu lực kể từ ngày 01 tháng 07 năm 2026. Tất cả các văn bản, quy định hoặc thông tư trước đó liên quan đến trợ cấp ăn trưa, điện thoại và các phụ cấp cố định đều bị bãi bỏ. Phòng Nhân sự có trách nhiệm phổ biến văn bản này đến toàn thể nhân viên trong công ty. Mọi thay đổi hoặc điều chỉnh quy định sẽ được thực hiện theo quy trình của công ty và thông báo kịp thời đến các bộ phận liên quan.</w:t>
      </w:r>
    </w:p>
    <w:p>
      <w:pPr>
        <w:spacing w:after="120"/>
      </w:pPr>
      <w:r>
        <w:t>TP. Ho Chi Minh, ngày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