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VSF/52_QC_THUONG_LE_TET_</w:t>
      </w:r>
    </w:p>
    <w:p/>
    <w:p>
      <w:pPr>
        <w:jc w:val="center"/>
      </w:pPr>
      <w:r>
        <w:rPr>
          <w:b/>
          <w:sz w:val="28"/>
        </w:rPr>
        <w:t>QUY CHẾ THƯỞNG DỊP LỄ TẾT VÀ THƯỞNG HOÀN THÀNH DỰ ÁN</w:t>
      </w:r>
    </w:p>
    <w:p/>
    <w:p>
      <w:pPr>
        <w:pStyle w:val="Heading1"/>
        <w:spacing w:before="280" w:after="120"/>
      </w:pPr>
      <w:r>
        <w:t>CÔNG TY TNHH CÔNG NGHỆ VSF</w:t>
      </w:r>
    </w:p>
    <w:p>
      <w:pPr>
        <w:spacing w:after="120"/>
      </w:pPr>
      <w:r>
        <w:t>Số: 01/2026/QC</w:t>
      </w:r>
    </w:p>
    <w:p>
      <w:pPr>
        <w:pStyle w:val="Heading1"/>
        <w:spacing w:before="280" w:after="120"/>
      </w:pPr>
      <w:r>
        <w:t>I. PHẠM VI VÀ ĐỐI TƯỢNG ÁP DỤNG</w:t>
      </w:r>
    </w:p>
    <w:p>
      <w:pPr>
        <w:spacing w:after="120"/>
      </w:pPr>
      <w:r>
        <w:t>Quy chế này áp dụng cho toàn thể cán bộ, nhân viên của Công ty TNHH Công nghệ VSF, bao gồm nhưng không giới hạn ở các phòng ban, đơn vị trực thuộc và các chi nhánh (nếu có) thuộc quyền quản lý của công ty. Thời gian áp dụng quy chế này là từ ngày 01 tháng 07 năm 2026 và sẽ được thực hiện hàng năm vào các dịp lễ Tết Nguyên Đán, 30/4-1/5 và Quốc khánh, cũng như vào các dịp hoàn thành dự án. Các đối tượng ngoại lệ bao gồm những nhân viên đang trong thời gian thử việc, nhân viên vi phạm nội quy công ty hoặc có các hành vi không đúng mực khác.</w:t>
      </w:r>
    </w:p>
    <w:p>
      <w:pPr>
        <w:spacing w:after="120"/>
      </w:pPr>
      <w:r>
        <w:t>Quy chế này nhằm tạo ra một môi trường làm việc tích cực và khuyến khích sự cống hiến của nhân viên đối với sự phát triển của công ty, đồng thời đảm bảo rằng phần thưởng được phân phối một cách công bằng và minh bạch.</w:t>
      </w:r>
    </w:p>
    <w:p>
      <w:pPr>
        <w:pStyle w:val="Heading1"/>
        <w:spacing w:before="280" w:after="120"/>
      </w:pPr>
      <w:r>
        <w:t>II. ĐỊNH NGHĨA VÀ GIẢI THÍCH THUẬT NGỮ</w:t>
      </w:r>
    </w:p>
    <w:p>
      <w:pPr>
        <w:pStyle w:val="ListNumber"/>
        <w:spacing w:after="60"/>
      </w:pPr>
      <w:r>
        <w:t>1. Thưởng Tết Nguyên Đán: Là khoản tiền hoặc quà tặng mà công ty trao cho nhân viên vào dịp lễ Tết Nguyên Đán nhằm thể hiện sự tri ân và động viên nhân viên, thường được chi trả vào cuối năm âm lịch.</w:t>
      </w:r>
    </w:p>
    <w:p>
      <w:pPr>
        <w:pStyle w:val="ListNumber"/>
        <w:spacing w:after="60"/>
      </w:pPr>
      <w:r>
        <w:t>2. Thưởng hoàn thành dự án: Là khoản tiền thưởng được trao cho cá nhân hoặc nhóm khi hoàn thành một dự án đúng thời hạn hoặc vượt mục tiêu về chất lượng và tiến độ mà công ty đã đặt ra.</w:t>
      </w:r>
    </w:p>
    <w:p>
      <w:pPr>
        <w:pStyle w:val="ListNumber"/>
        <w:spacing w:after="60"/>
      </w:pPr>
      <w:r>
        <w:t>3. Cán bộ nhân viên: Là tất cả những người làm việc tại Công ty TNHH Công nghệ VSF, bao gồm nhân viên chính thức, nhân viên hợp đồng, thực tập sinh và những người làm việc khác theo các hình thức hợp tác khác.</w:t>
      </w:r>
    </w:p>
    <w:p>
      <w:pPr>
        <w:pStyle w:val="ListNumber"/>
        <w:spacing w:after="60"/>
      </w:pPr>
      <w:r>
        <w:t>4. Phê duyệt: Là quá trình xem xét và chấp thuận các đề xuất về thưởng hoặc các hoạt động liên quan đến việc chi thưởng từ cấp quản lý có thẩm quyền trong công ty.</w:t>
      </w:r>
    </w:p>
    <w:p>
      <w:pPr>
        <w:pStyle w:val="ListNumber"/>
        <w:spacing w:after="60"/>
      </w:pPr>
      <w:r>
        <w:t>5. Dự án: Là một kế hoạch công việc cụ thể trong lĩnh vực công nghệ thông tin mà công ty thực hiện, bao gồm các giai đoạn lập kế hoạch, thực hiện và đánh giá kết quả.</w:t>
      </w:r>
    </w:p>
    <w:p>
      <w:pPr>
        <w:pStyle w:val="ListNumber"/>
        <w:spacing w:after="60"/>
      </w:pPr>
      <w:r>
        <w:t>6. Mục tiêu: Là các chỉ tiêu, yêu cầu cụ thể mà công ty đặt ra cho từng dự án hoặc hoạt động, bao gồm cả chất lượng, thời gian và chi phí.</w:t>
      </w:r>
    </w:p>
    <w:p>
      <w:pPr>
        <w:pStyle w:val="Heading1"/>
        <w:spacing w:before="280" w:after="120"/>
      </w:pPr>
      <w:r>
        <w:t>III. NỘI DUNG QUY ĐỊNH / QUY TRÌNH CHI TIẾT</w:t>
      </w:r>
    </w:p>
    <w:p>
      <w:pPr>
        <w:pStyle w:val="Heading2"/>
        <w:spacing w:before="200" w:after="80"/>
      </w:pPr>
      <w:r>
        <w:t>3.1. Thưởng Tết Nguyên Đán</w:t>
      </w:r>
    </w:p>
    <w:p>
      <w:pPr>
        <w:pStyle w:val="ListBullet"/>
        <w:spacing w:after="60"/>
      </w:pPr>
      <w:r>
        <w:t>Mức thưởng: Mức thưởng Tết Nguyên Đán sẽ được xác định dựa trên mức lương cơ bản của nhân viên và thời gian làm việc tại công ty. Công thức tính thưởng là: Mức thưởng = Lương cơ bản x Hệ số thưởng x Thâm niên.</w:t>
      </w:r>
    </w:p>
    <w:p>
      <w:pPr>
        <w:pStyle w:val="ListBullet"/>
        <w:spacing w:after="60"/>
      </w:pPr>
      <w:r>
        <w:t>Hệ số thưởng: Hệ số thưởng sẽ được xác định như sau:</w:t>
      </w:r>
    </w:p>
    <w:p>
      <w:pPr>
        <w:pStyle w:val="ListBullet"/>
        <w:spacing w:after="60"/>
      </w:pPr>
      <w:r>
        <w:t>Nhân viên dưới 1 năm thâm niên: 1.0</w:t>
      </w:r>
    </w:p>
    <w:p>
      <w:pPr>
        <w:pStyle w:val="ListBullet"/>
        <w:spacing w:after="60"/>
      </w:pPr>
      <w:r>
        <w:t>Nhân viên từ 1 đến 3 năm thâm niên: 1.5</w:t>
      </w:r>
    </w:p>
    <w:p>
      <w:pPr>
        <w:pStyle w:val="ListBullet"/>
        <w:spacing w:after="60"/>
      </w:pPr>
      <w:r>
        <w:t>Nhân viên từ 3 đến 5 năm thâm niên: 2.0</w:t>
      </w:r>
    </w:p>
    <w:p>
      <w:pPr>
        <w:pStyle w:val="ListBullet"/>
        <w:spacing w:after="60"/>
      </w:pPr>
      <w:r>
        <w:t>Nhân viên trên 5 năm thâm niên: 2.5</w:t>
      </w:r>
    </w:p>
    <w:p>
      <w:pPr>
        <w:pStyle w:val="ListBullet"/>
        <w:spacing w:after="60"/>
      </w:pPr>
      <w:r>
        <w:t>Thời điểm chi thưởng: Thưởng Tết Nguyên Đán sẽ được chi trả vào ngày làm việc cuối cùng trước Tết Nguyên Đán.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HỆ SỐ THƯỞNG</w:t>
            </w:r>
          </w:p>
        </w:tc>
        <w:tc>
          <w:tcPr>
            <w:tcW w:type="dxa" w:w="3135"/>
          </w:tcPr>
          <w:p>
            <w:r>
              <w:rPr>
                <w:b/>
              </w:rPr>
              <w:t>THÁM NIÊN</w:t>
            </w:r>
          </w:p>
        </w:tc>
        <w:tc>
          <w:tcPr>
            <w:tcW w:type="dxa" w:w="3135"/>
          </w:tcPr>
          <w:p>
            <w:r>
              <w:rPr>
                <w:b/>
              </w:rPr>
              <w:t>MỨC THƯỞNG</w:t>
            </w:r>
          </w:p>
        </w:tc>
      </w:tr>
      <w:tr>
        <w:tc>
          <w:tcPr>
            <w:tcW w:type="dxa" w:w="3135"/>
          </w:tcPr>
          <w:p>
            <w:r>
              <w:t>1.0</w:t>
            </w:r>
          </w:p>
        </w:tc>
        <w:tc>
          <w:tcPr>
            <w:tcW w:type="dxa" w:w="3135"/>
          </w:tcPr>
          <w:p>
            <w:r>
              <w:t>Dưới 1 năm</w:t>
            </w:r>
          </w:p>
        </w:tc>
        <w:tc>
          <w:tcPr>
            <w:tcW w:type="dxa" w:w="3135"/>
          </w:tcPr>
          <w:p>
            <w:r>
              <w:t>100% lương cơ bản</w:t>
            </w:r>
          </w:p>
        </w:tc>
      </w:tr>
      <w:tr>
        <w:tc>
          <w:tcPr>
            <w:tcW w:type="dxa" w:w="3135"/>
          </w:tcPr>
          <w:p>
            <w:r>
              <w:t>1.5</w:t>
            </w:r>
          </w:p>
        </w:tc>
        <w:tc>
          <w:tcPr>
            <w:tcW w:type="dxa" w:w="3135"/>
          </w:tcPr>
          <w:p>
            <w:r>
              <w:t>Từ 1 - 3 năm</w:t>
            </w:r>
          </w:p>
        </w:tc>
        <w:tc>
          <w:tcPr>
            <w:tcW w:type="dxa" w:w="3135"/>
          </w:tcPr>
          <w:p>
            <w:r>
              <w:t>150% lương cơ bản</w:t>
            </w:r>
          </w:p>
        </w:tc>
      </w:tr>
      <w:tr>
        <w:tc>
          <w:tcPr>
            <w:tcW w:type="dxa" w:w="3135"/>
          </w:tcPr>
          <w:p>
            <w:r>
              <w:t>2.0</w:t>
            </w:r>
          </w:p>
        </w:tc>
        <w:tc>
          <w:tcPr>
            <w:tcW w:type="dxa" w:w="3135"/>
          </w:tcPr>
          <w:p>
            <w:r>
              <w:t>Từ 3 - 5 năm</w:t>
            </w:r>
          </w:p>
        </w:tc>
        <w:tc>
          <w:tcPr>
            <w:tcW w:type="dxa" w:w="3135"/>
          </w:tcPr>
          <w:p>
            <w:r>
              <w:t>200% lương cơ bản</w:t>
            </w:r>
          </w:p>
        </w:tc>
      </w:tr>
      <w:tr>
        <w:tc>
          <w:tcPr>
            <w:tcW w:type="dxa" w:w="3135"/>
          </w:tcPr>
          <w:p>
            <w:r>
              <w:t>2.5</w:t>
            </w:r>
          </w:p>
        </w:tc>
        <w:tc>
          <w:tcPr>
            <w:tcW w:type="dxa" w:w="3135"/>
          </w:tcPr>
          <w:p>
            <w:r>
              <w:t>Trên 5 năm</w:t>
            </w:r>
          </w:p>
        </w:tc>
        <w:tc>
          <w:tcPr>
            <w:tcW w:type="dxa" w:w="3135"/>
          </w:tcPr>
          <w:p>
            <w:r>
              <w:t>250% lương cơ bản</w:t>
            </w:r>
          </w:p>
        </w:tc>
      </w:tr>
    </w:tbl>
    <w:p/>
    <w:p>
      <w:pPr>
        <w:pStyle w:val="Heading2"/>
        <w:spacing w:before="200" w:after="80"/>
      </w:pPr>
      <w:r>
        <w:t>3.2. Thưởng dịp 30/4-1/5 và Quốc khánh</w:t>
      </w:r>
    </w:p>
    <w:p>
      <w:pPr>
        <w:pStyle w:val="ListBullet"/>
        <w:spacing w:after="60"/>
      </w:pPr>
      <w:r>
        <w:t>Mức thưởng: Mức thưởng cho các dịp lễ này sẽ được thống nhất hàng năm bởi Ban Giám Đốc và thông báo đến từng nhân viên.</w:t>
      </w:r>
    </w:p>
    <w:p>
      <w:pPr>
        <w:pStyle w:val="ListBullet"/>
        <w:spacing w:after="60"/>
      </w:pPr>
      <w:r>
        <w:t>Điều kiện nhận thưởng: Nhân viên phải có mặt làm việc trong những ngày gần kề các ngày lễ này và không có bất kỳ hình thức vi phạm nội quy nào trong thời gian trước đó.</w:t>
      </w:r>
    </w:p>
    <w:p>
      <w:pPr>
        <w:pStyle w:val="ListBullet"/>
        <w:spacing w:after="60"/>
      </w:pPr>
      <w:r>
        <w:t>Thời điểm chi thưởng: Thưởng sẽ được chi trả vào ngày làm việc đầu tiên sau các ngày lễ trên.</w:t>
      </w:r>
    </w:p>
    <w:p>
      <w:pPr>
        <w:pStyle w:val="Heading2"/>
        <w:spacing w:before="200" w:after="80"/>
      </w:pPr>
      <w:r>
        <w:t>3.3. Thưởng hoàn thành dự án</w:t>
      </w:r>
    </w:p>
    <w:p>
      <w:pPr>
        <w:pStyle w:val="ListBullet"/>
        <w:spacing w:after="60"/>
      </w:pPr>
      <w:r>
        <w:t>Tiêu chí đánh giá: Dự án phải hoàn thành đúng thời hạn, đạt yêu cầu về chất lượng và hiệu quả kinh tế. Các tiêu chí cụ thể sẽ được Ban Giám Đốc và các Trưởng phòng đưa ra trước khi bắt đầu dự án.</w:t>
      </w:r>
    </w:p>
    <w:p>
      <w:pPr>
        <w:pStyle w:val="ListBullet"/>
        <w:spacing w:after="60"/>
      </w:pPr>
      <w:r>
        <w:t>Đề xuất thưởng: Trưởng phòng sẽ có trách nhiệm đề xuất mức thưởng cho các cá nhân hoặc nhóm thực hiện dự án. Đề xuất này sẽ được trình lên Ban Giám Đốc xem xét và phê duyệt.</w:t>
      </w:r>
    </w:p>
    <w:p>
      <w:pPr>
        <w:pStyle w:val="ListBullet"/>
        <w:spacing w:after="60"/>
      </w:pPr>
      <w:r>
        <w:t>Thời điểm chi thưởng: Thưởng cho việc hoàn thành dự án sẽ được chi trả trong vòng 30 ngày kể từ khi dự án được nghiệm thu.</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TIÊU CHÍ</w:t>
            </w:r>
          </w:p>
        </w:tc>
        <w:tc>
          <w:tcPr>
            <w:tcW w:type="dxa" w:w="3135"/>
          </w:tcPr>
          <w:p>
            <w:r>
              <w:rPr>
                <w:b/>
              </w:rPr>
              <w:t>MỨC THƯỞNG</w:t>
            </w:r>
          </w:p>
        </w:tc>
        <w:tc>
          <w:tcPr>
            <w:tcW w:type="dxa" w:w="3135"/>
          </w:tcPr>
          <w:p>
            <w:r>
              <w:rPr>
                <w:b/>
              </w:rPr>
              <w:t>PHÊ DUYỆT</w:t>
            </w:r>
          </w:p>
        </w:tc>
      </w:tr>
      <w:tr>
        <w:tc>
          <w:tcPr>
            <w:tcW w:type="dxa" w:w="3135"/>
          </w:tcPr>
          <w:p>
            <w:r>
              <w:t>Hoàn thành đúng thời hạn</w:t>
            </w:r>
          </w:p>
        </w:tc>
        <w:tc>
          <w:tcPr>
            <w:tcW w:type="dxa" w:w="3135"/>
          </w:tcPr>
          <w:p>
            <w:r>
              <w:t>5% giá trị dự án</w:t>
            </w:r>
          </w:p>
        </w:tc>
        <w:tc>
          <w:tcPr>
            <w:tcW w:type="dxa" w:w="3135"/>
          </w:tcPr>
          <w:p>
            <w:r>
              <w:t>Trưởng phòng</w:t>
            </w:r>
          </w:p>
        </w:tc>
      </w:tr>
      <w:tr>
        <w:tc>
          <w:tcPr>
            <w:tcW w:type="dxa" w:w="3135"/>
          </w:tcPr>
          <w:p>
            <w:r>
              <w:t>Hoàn thành vượt mục tiêu</w:t>
            </w:r>
          </w:p>
        </w:tc>
        <w:tc>
          <w:tcPr>
            <w:tcW w:type="dxa" w:w="3135"/>
          </w:tcPr>
          <w:p>
            <w:r>
              <w:t>10% giá trị dự án</w:t>
            </w:r>
          </w:p>
        </w:tc>
        <w:tc>
          <w:tcPr>
            <w:tcW w:type="dxa" w:w="3135"/>
          </w:tcPr>
          <w:p>
            <w:r>
              <w:t>Ban Giám Đốc</w:t>
            </w:r>
          </w:p>
        </w:tc>
      </w:tr>
    </w:tbl>
    <w:p/>
    <w:p>
      <w:pPr>
        <w:pStyle w:val="Heading2"/>
        <w:spacing w:before="200" w:after="80"/>
      </w:pPr>
      <w:r>
        <w:t>3.4. Quy trình đề xuất thưởng</w:t>
      </w:r>
    </w:p>
    <w:p>
      <w:pPr>
        <w:pStyle w:val="ListBullet"/>
        <w:spacing w:after="60"/>
      </w:pPr>
      <w:r>
        <w:t>Ai được đề xuất: Tất cả cán bộ nhân viên đều có quyền đề xuất mức thưởng cho các cá nhân hoặc nhóm có thành tích xuất sắc.</w:t>
      </w:r>
    </w:p>
    <w:p>
      <w:pPr>
        <w:pStyle w:val="ListBullet"/>
        <w:spacing w:after="60"/>
      </w:pPr>
      <w:r>
        <w:t>Hình thức đề xuất: Đề xuất phải được gửi bằng văn bản đến Trưởng phòng và phải có chữ ký xác nhận của ít nhất 2 đồng nghiệp liên quan.</w:t>
      </w:r>
    </w:p>
    <w:p>
      <w:pPr>
        <w:pStyle w:val="ListBullet"/>
        <w:spacing w:after="60"/>
      </w:pPr>
      <w:r>
        <w:t>Thời gian đề xuất: Đề xuất thưởng phải được gửi trong vòng 5 ngày làm việc kể từ ngày hoàn thành dự án hoặc ngày kết thúc sự kiện.</w:t>
      </w:r>
    </w:p>
    <w:p>
      <w:pPr>
        <w:pStyle w:val="Heading2"/>
        <w:spacing w:before="200" w:after="80"/>
      </w:pPr>
      <w:r>
        <w:t>3.5. Phê duyệt và thực hiện thưởng</w:t>
      </w:r>
    </w:p>
    <w:p>
      <w:pPr>
        <w:pStyle w:val="ListBullet"/>
        <w:spacing w:after="60"/>
      </w:pPr>
      <w:r>
        <w:t>Cấp phê duyệt: Các đề xuất thưởng sẽ được xem xét và phê duyệt bởi Ban Giám Đốc hoặc các cấp quản lý có thẩm quyền.</w:t>
      </w:r>
    </w:p>
    <w:p>
      <w:pPr>
        <w:pStyle w:val="ListBullet"/>
        <w:spacing w:after="60"/>
      </w:pPr>
      <w:r>
        <w:t>Thời gian phê duyệt: Thời gian phê duyệt sẽ không quá 10 ngày làm việc kể từ khi nhận được đề xuất.</w:t>
      </w:r>
    </w:p>
    <w:p>
      <w:pPr>
        <w:pStyle w:val="ListBullet"/>
        <w:spacing w:after="60"/>
      </w:pPr>
      <w:r>
        <w:t>Thực hiện chi thưởng: Sau khi được phê duyệt, bộ phận kế toán sẽ tiến hành chi thưởng theo đúng quy định.</w:t>
      </w:r>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4702"/>
        <w:gridCol w:w="4702"/>
      </w:tblGrid>
      <w:tr>
        <w:tc>
          <w:tcPr>
            <w:tcW w:type="dxa" w:w="4702"/>
          </w:tcPr>
          <w:p>
            <w:r>
              <w:rPr>
                <w:b/>
              </w:rPr>
              <w:t>BỘ PHẬN</w:t>
            </w:r>
          </w:p>
        </w:tc>
        <w:tc>
          <w:tcPr>
            <w:tcW w:type="dxa" w:w="4702"/>
          </w:tcPr>
          <w:p>
            <w:r>
              <w:rPr>
                <w:b/>
              </w:rPr>
              <w:t>TRÁCH NHIỆM</w:t>
            </w:r>
          </w:p>
        </w:tc>
      </w:tr>
      <w:tr>
        <w:tc>
          <w:tcPr>
            <w:tcW w:type="dxa" w:w="4702"/>
          </w:tcPr>
          <w:p>
            <w:r>
              <w:t>Phòng Nhân sự</w:t>
            </w:r>
          </w:p>
        </w:tc>
        <w:tc>
          <w:tcPr>
            <w:tcW w:type="dxa" w:w="4702"/>
          </w:tcPr>
          <w:p>
            <w:r>
              <w:t>Xây dựng và cập nhật quy chế thưởng</w:t>
            </w:r>
          </w:p>
        </w:tc>
      </w:tr>
      <w:tr>
        <w:tc>
          <w:tcPr>
            <w:tcW w:type="dxa" w:w="4702"/>
          </w:tcPr>
          <w:p>
            <w:r>
              <w:t>Phòng Kế toán</w:t>
            </w:r>
          </w:p>
        </w:tc>
        <w:tc>
          <w:tcPr>
            <w:tcW w:type="dxa" w:w="4702"/>
          </w:tcPr>
          <w:p>
            <w:r>
              <w:t>Thực hiện chi thưởng và bảo đảm tài chính</w:t>
            </w:r>
          </w:p>
        </w:tc>
      </w:tr>
      <w:tr>
        <w:tc>
          <w:tcPr>
            <w:tcW w:type="dxa" w:w="4702"/>
          </w:tcPr>
          <w:p>
            <w:r>
              <w:t>Trưởng phòng Dự án</w:t>
            </w:r>
          </w:p>
        </w:tc>
        <w:tc>
          <w:tcPr>
            <w:tcW w:type="dxa" w:w="4702"/>
          </w:tcPr>
          <w:p>
            <w:r>
              <w:t>Đề xuất mức thưởng cho nhân viên trong dự án</w:t>
            </w:r>
          </w:p>
        </w:tc>
      </w:tr>
      <w:tr>
        <w:tc>
          <w:tcPr>
            <w:tcW w:type="dxa" w:w="4702"/>
          </w:tcPr>
          <w:p>
            <w:r>
              <w:t>Ban Giám Đốc</w:t>
            </w:r>
          </w:p>
        </w:tc>
        <w:tc>
          <w:tcPr>
            <w:tcW w:type="dxa" w:w="4702"/>
          </w:tcPr>
          <w:p>
            <w:r>
              <w:t>Phê duyệt các đề xuất thưởng</w:t>
            </w:r>
          </w:p>
        </w:tc>
      </w:tr>
    </w:tbl>
    <w:p/>
    <w:p>
      <w:pPr>
        <w:pStyle w:val="ListNumber"/>
        <w:spacing w:after="60"/>
      </w:pPr>
      <w:r>
        <w:t>1. Phòng Nhân sự</w:t>
      </w:r>
    </w:p>
    <w:p>
      <w:pPr>
        <w:pStyle w:val="ListBullet"/>
        <w:spacing w:after="60"/>
      </w:pPr>
      <w:r>
        <w:t>Xây dựng và cập nhật quy chế thưởng hàng năm.</w:t>
      </w:r>
    </w:p>
    <w:p>
      <w:pPr>
        <w:pStyle w:val="ListBullet"/>
        <w:spacing w:after="60"/>
      </w:pPr>
      <w:r>
        <w:t>Thực hiện truyền thông quy chế đến toàn thể nhân viên.</w:t>
      </w:r>
    </w:p>
    <w:p>
      <w:pPr>
        <w:pStyle w:val="ListBullet"/>
        <w:spacing w:after="60"/>
      </w:pPr>
      <w:r>
        <w:t>Theo dõi và ghi nhận ý kiến phản hồi của nhân viên về quy chế thưởng.</w:t>
      </w:r>
    </w:p>
    <w:p>
      <w:pPr>
        <w:pStyle w:val="ListNumber"/>
        <w:spacing w:after="60"/>
      </w:pPr>
      <w:r>
        <w:t>2. Phòng Kế toán</w:t>
      </w:r>
    </w:p>
    <w:p>
      <w:pPr>
        <w:pStyle w:val="ListBullet"/>
        <w:spacing w:after="60"/>
      </w:pPr>
      <w:r>
        <w:t>Tiến hành tính toán và thực hiện chi thưởng đúng hạn.</w:t>
      </w:r>
    </w:p>
    <w:p>
      <w:pPr>
        <w:pStyle w:val="ListBullet"/>
        <w:spacing w:after="60"/>
      </w:pPr>
      <w:r>
        <w:t>Đảm bảo các khoản thưởng được chi trả theo quy định tài chính của công ty.</w:t>
      </w:r>
    </w:p>
    <w:p>
      <w:pPr>
        <w:pStyle w:val="ListBullet"/>
        <w:spacing w:after="60"/>
      </w:pPr>
      <w:r>
        <w:t>Lập báo cáo tài chính liên quan đến các khoản chi thưởng.</w:t>
      </w:r>
    </w:p>
    <w:p>
      <w:pPr>
        <w:pStyle w:val="ListNumber"/>
        <w:spacing w:after="60"/>
      </w:pPr>
      <w:r>
        <w:t>3. Trưởng phòng Dự án</w:t>
      </w:r>
    </w:p>
    <w:p>
      <w:pPr>
        <w:pStyle w:val="ListBullet"/>
        <w:spacing w:after="60"/>
      </w:pPr>
      <w:r>
        <w:t>Đánh giá và đề xuất thưởng cho các thành viên trong nhóm.</w:t>
      </w:r>
    </w:p>
    <w:p>
      <w:pPr>
        <w:pStyle w:val="ListBullet"/>
        <w:spacing w:after="60"/>
      </w:pPr>
      <w:r>
        <w:t>Tổ chức họp đánh giá kết quả dự án.</w:t>
      </w:r>
    </w:p>
    <w:p>
      <w:pPr>
        <w:pStyle w:val="ListBullet"/>
        <w:spacing w:after="60"/>
      </w:pPr>
      <w:r>
        <w:t>Báo cáo kết quả thực hiện và mức thưởng đề xuất lên Ban Giám Đốc.</w:t>
      </w:r>
    </w:p>
    <w:p>
      <w:pPr>
        <w:pStyle w:val="ListNumber"/>
        <w:spacing w:after="60"/>
      </w:pPr>
      <w:r>
        <w:t>4. Ban Giám Đốc</w:t>
      </w:r>
    </w:p>
    <w:p>
      <w:pPr>
        <w:pStyle w:val="ListBullet"/>
        <w:spacing w:after="60"/>
      </w:pPr>
      <w:r>
        <w:t>Xem xét và phê duyệt các đề xuất thưởng từ các phòng ban.</w:t>
      </w:r>
    </w:p>
    <w:p>
      <w:pPr>
        <w:pStyle w:val="ListBullet"/>
        <w:spacing w:after="60"/>
      </w:pPr>
      <w:r>
        <w:t>Đảm bảo quy chế thưởng được thực hiện công bằng và minh bạch.</w:t>
      </w:r>
    </w:p>
    <w:p>
      <w:pPr>
        <w:pStyle w:val="ListBullet"/>
        <w:spacing w:after="60"/>
      </w:pPr>
      <w:r>
        <w:t>Thực hiện đánh giá tổng kết các chương trình thưởng hàng năm.</w:t>
      </w:r>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TIỀN PHẠT (VNĐ)</w:t>
            </w:r>
          </w:p>
        </w:tc>
      </w:tr>
      <w:tr>
        <w:tc>
          <w:tcPr>
            <w:tcW w:type="dxa" w:w="2351"/>
          </w:tcPr>
          <w:p>
            <w:r>
              <w:t>Vi phạm quy chế trình tự đề xuất thưởng</w:t>
            </w:r>
          </w:p>
        </w:tc>
        <w:tc>
          <w:tcPr>
            <w:tcW w:type="dxa" w:w="2351"/>
          </w:tcPr>
          <w:p>
            <w:r>
              <w:t>1 lần</w:t>
            </w:r>
          </w:p>
        </w:tc>
        <w:tc>
          <w:tcPr>
            <w:tcW w:type="dxa" w:w="2351"/>
          </w:tcPr>
          <w:p>
            <w:r>
              <w:t>Nhắc nhở</w:t>
            </w:r>
          </w:p>
        </w:tc>
        <w:tc>
          <w:tcPr>
            <w:tcW w:type="dxa" w:w="2351"/>
          </w:tcPr>
          <w:p>
            <w:r>
              <w:t>500.000</w:t>
            </w:r>
          </w:p>
        </w:tc>
      </w:tr>
      <w:tr>
        <w:tc>
          <w:tcPr>
            <w:tcW w:type="dxa" w:w="2351"/>
          </w:tcPr>
          <w:p>
            <w:r>
              <w:t>Vi phạm quy định về thời gian đề xuất</w:t>
            </w:r>
          </w:p>
        </w:tc>
        <w:tc>
          <w:tcPr>
            <w:tcW w:type="dxa" w:w="2351"/>
          </w:tcPr>
          <w:p>
            <w:r>
              <w:t>2 lần</w:t>
            </w:r>
          </w:p>
        </w:tc>
        <w:tc>
          <w:tcPr>
            <w:tcW w:type="dxa" w:w="2351"/>
          </w:tcPr>
          <w:p>
            <w:r>
              <w:t>Cảnh cáo</w:t>
            </w:r>
          </w:p>
        </w:tc>
        <w:tc>
          <w:tcPr>
            <w:tcW w:type="dxa" w:w="2351"/>
          </w:tcPr>
          <w:p>
            <w:r>
              <w:t>1.000.000</w:t>
            </w:r>
          </w:p>
        </w:tc>
      </w:tr>
      <w:tr>
        <w:tc>
          <w:tcPr>
            <w:tcW w:type="dxa" w:w="2351"/>
          </w:tcPr>
          <w:p>
            <w:r>
              <w:t>Không thực hiện nghĩa vụ công việc</w:t>
            </w:r>
          </w:p>
        </w:tc>
        <w:tc>
          <w:tcPr>
            <w:tcW w:type="dxa" w:w="2351"/>
          </w:tcPr>
          <w:p>
            <w:r>
              <w:t>3 lần</w:t>
            </w:r>
          </w:p>
        </w:tc>
        <w:tc>
          <w:tcPr>
            <w:tcW w:type="dxa" w:w="2351"/>
          </w:tcPr>
          <w:p>
            <w:r>
              <w:t>Tạm ngưng thưởng</w:t>
            </w:r>
          </w:p>
        </w:tc>
        <w:tc>
          <w:tcPr>
            <w:tcW w:type="dxa" w:w="2351"/>
          </w:tcPr>
          <w:p>
            <w:r>
              <w:t>2.000.000</w:t>
            </w:r>
          </w:p>
        </w:tc>
      </w:tr>
      <w:tr>
        <w:tc>
          <w:tcPr>
            <w:tcW w:type="dxa" w:w="2351"/>
          </w:tcPr>
          <w:p>
            <w:r>
              <w:t>Lợi dụng chức vụ để đề xuất thưởng không hợp lý</w:t>
            </w:r>
          </w:p>
        </w:tc>
        <w:tc>
          <w:tcPr>
            <w:tcW w:type="dxa" w:w="2351"/>
          </w:tcPr>
          <w:p>
            <w:r>
              <w:t>1 lần</w:t>
            </w:r>
          </w:p>
        </w:tc>
        <w:tc>
          <w:tcPr>
            <w:tcW w:type="dxa" w:w="2351"/>
          </w:tcPr>
          <w:p>
            <w:r>
              <w:t>Đình chỉ công tác</w:t>
            </w:r>
          </w:p>
        </w:tc>
        <w:tc>
          <w:tcPr>
            <w:tcW w:type="dxa" w:w="2351"/>
          </w:tcPr>
          <w:p>
            <w:r>
              <w:t>5.000.000</w:t>
            </w:r>
          </w:p>
        </w:tc>
      </w:tr>
    </w:tbl>
    <w:p/>
    <w:p>
      <w:pPr>
        <w:pStyle w:val="Heading1"/>
        <w:spacing w:before="280" w:after="120"/>
      </w:pPr>
      <w:r>
        <w:t>VI. ĐIỀU KHOẢN THI HÀNH</w:t>
      </w:r>
    </w:p>
    <w:p>
      <w:pPr>
        <w:spacing w:after="120"/>
      </w:pPr>
      <w:r>
        <w:t>Quy chế này có hiệu lực từ ngày 01 tháng 07 năm 2026. Quy chế trước đó (nếu có) sẽ bị bãi bỏ. Trách nhiệm phổ biến quy chế này thuộc về Phòng Nhân sự, đảm bảo mọi nhân viên đều được thông báo và hiểu rõ nội dung. Mọi thay đổi hay cập nhật quy chế sẽ được thực hiện hàng năm và thông báo đến toàn thể nhân viên.</w:t>
      </w:r>
    </w:p>
    <w:p>
      <w:pPr>
        <w:spacing w:after="120"/>
      </w:pPr>
      <w:r>
        <w:t>TP. Ho Chi Minh, ngày 01 tháng 07 năm 2026</w:t>
      </w:r>
    </w:p>
    <w:p>
      <w:pPr>
        <w:pStyle w:val="Heading1"/>
        <w:spacing w:before="280" w:after="120"/>
      </w:pPr>
      <w:r>
        <w:t>GIÁM ĐỐC ĐIỀU HÀNH</w:t>
      </w:r>
    </w:p>
    <w:p>
      <w:pPr>
        <w:spacing w:after="120"/>
      </w:pPr>
      <w:r>
        <w:t>Nguyễn Minh Thành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