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CÔNG TY TNHH CÔNG NGHỆ VSF</w:t>
      </w:r>
    </w:p>
    <w:p>
      <w:pPr>
        <w:jc w:val="center"/>
      </w:pPr>
      <w:r>
        <w:rPr>
          <w:sz w:val="22"/>
        </w:rPr>
        <w:t>Số: VSF/57_QD_CODING_CONVENT</w:t>
      </w:r>
    </w:p>
    <w:p/>
    <w:p>
      <w:pPr>
        <w:jc w:val="center"/>
      </w:pPr>
      <w:r>
        <w:rPr>
          <w:b/>
          <w:sz w:val="28"/>
        </w:rPr>
        <w:t>QUY CHUẨN VIẾT MÃ NGUỒN (CODING CONVENTION) NỘI BỘ VSF</w:t>
      </w:r>
    </w:p>
    <w:p/>
    <w:p>
      <w:pPr>
        <w:pStyle w:val="Heading1"/>
        <w:spacing w:before="280" w:after="120"/>
      </w:pPr>
      <w:r>
        <w:t>I. PHẠM VI VÀ ĐỐI TƯỢNG ÁP DỤNG</w:t>
      </w:r>
    </w:p>
    <w:p>
      <w:pPr>
        <w:spacing w:after="120"/>
      </w:pPr>
      <w:r>
        <w:t>Quy chuẩn viết mã nguồn (Coding Convention) nội bộ của Công ty TNHH Công nghệ VSF áp dụng cho tất cả các nhân viên và bộ phận làm việc trong lĩnh vực phát triển phần mềm và công nghệ thông tin tại công ty. Quy định này có hiệu lực từ ngày 01 tháng 07 năm 2026 và sẽ áp dụng cho tất cả các dự án hiện tại và tương lai mà công ty thực hiện. Các nhân viên mới tuyển dụng cũng sẽ được yêu cầu tuân thủ quy chuẩn này ngay từ khi bắt đầu làm việc. Những đối tượng ngoại lệ bao gồm các dự án được thực hiện theo quy trình và quy chuẩn riêng biệt đã được phê duyệt bởi Ban Giám Đốc công ty. Việc tuân thủ quy chuẩn viết mã nguồn không chỉ giúp nâng cao chất lượng sản phẩm mà còn tăng cường khả năng cộng tác giữa các thành viên trong nhóm và giữa các bộ phận khác nhau trong công ty.</w:t>
      </w:r>
    </w:p>
    <w:p>
      <w:pPr>
        <w:pStyle w:val="Heading1"/>
        <w:spacing w:before="280" w:after="120"/>
      </w:pPr>
      <w:r>
        <w:t>II. ĐỊNH NGHĨA VÀ GIẢI THÍCH THUẬT NGỮ</w:t>
      </w:r>
    </w:p>
    <w:p>
      <w:pPr>
        <w:pStyle w:val="ListNumber"/>
        <w:spacing w:after="60"/>
      </w:pPr>
      <w:r>
        <w:t>1. Mã nguồn: Mã nguồn là tập hợp các dòng lệnh được viết bằng ngôn ngữ lập trình, có thể được biên dịch hoặc thông dịch thành chương trình có thể chạy trên máy tính hoặc thiết bị di động.</w:t>
      </w:r>
    </w:p>
    <w:p>
      <w:pPr>
        <w:pStyle w:val="ListNumber"/>
        <w:spacing w:after="60"/>
      </w:pPr>
      <w:r>
        <w:t>2. Biến: Biến là một vùng nhớ trong mã nguồn, được đặt tên và có thể chứa giá trị thay đổi trong quá trình thực thi chương trình. Tên biến phải mang tính biểu đạt và dễ hiểu cho người đọc.</w:t>
      </w:r>
    </w:p>
    <w:p>
      <w:pPr>
        <w:pStyle w:val="ListNumber"/>
        <w:spacing w:after="60"/>
      </w:pPr>
      <w:r>
        <w:t>3. Hàm: Hàm là một khối mã thực hiện một nhiệm vụ cụ thể, có thể nhận đối số và trả về giá trị. Hàm giúp phân tách mã nguồn thành các phần nhỏ hơn, dễ quản lý và tái sử dụng.</w:t>
      </w:r>
    </w:p>
    <w:p>
      <w:pPr>
        <w:pStyle w:val="ListNumber"/>
        <w:spacing w:after="60"/>
      </w:pPr>
      <w:r>
        <w:t>4. Class: Class là một khái niệm trong lập trình hướng đối tượng, dùng để định nghĩa các đối tượng và thuộc tính của chúng. Class cho phép tổ chức mã nguồn một cách có cấu trúc và dễ hiểu.</w:t>
      </w:r>
    </w:p>
    <w:p>
      <w:pPr>
        <w:pStyle w:val="ListNumber"/>
        <w:spacing w:after="60"/>
      </w:pPr>
      <w:r>
        <w:t>5. Comment: Comment là các dòng chú thích trong mã nguồn, không được biên dịch, giúp giải thích hoặc mô tả chức năng của đoạn mã cho người đọc.</w:t>
      </w:r>
    </w:p>
    <w:p>
      <w:pPr>
        <w:pStyle w:val="ListNumber"/>
        <w:spacing w:after="60"/>
      </w:pPr>
      <w:r>
        <w:t>6. Code Review: Code Review là quá trình xem xét mã nguồn của một hoặc nhiều lập trình viên bởi các lập trình viên khác nhằm đảm bảo chất lượng, phát hiện lỗi và cải thiện mã nguồn trước khi đưa vào sản phẩm chính thức.</w:t>
      </w:r>
    </w:p>
    <w:p>
      <w:pPr>
        <w:pStyle w:val="Heading1"/>
        <w:spacing w:before="280" w:after="120"/>
      </w:pPr>
      <w:r>
        <w:t>III. NỘI DUNG QUY ĐỊNH / QUY TRÌNH CHI TIẾT</w:t>
      </w:r>
    </w:p>
    <w:p>
      <w:pPr>
        <w:pStyle w:val="Heading2"/>
        <w:spacing w:before="200" w:after="80"/>
      </w:pPr>
      <w:r>
        <w:t>3.1. Quy định về đặt tên</w:t>
      </w:r>
    </w:p>
    <w:p>
      <w:pPr>
        <w:pStyle w:val="ListBullet"/>
        <w:spacing w:after="60"/>
      </w:pPr>
      <w:r>
        <w:t>Tên biến: Tên biến phải rõ ràng, ngắn gọn và có nội dung mô tả. Ví dụ, sử dụng "userAge" thay vì "uA" để biểu thị tuổi của người dùng.</w:t>
      </w:r>
    </w:p>
    <w:p>
      <w:pPr>
        <w:pStyle w:val="ListBullet"/>
        <w:spacing w:after="60"/>
      </w:pPr>
      <w:r>
        <w:t>Tên hàm: Tên hàm nên bắt đầu bằng động từ và có thể chứa nhiều từ, mỗi từ bắt đầu bằng chữ cái in hoa. Ví dụ, "calculateTotalPrice" là một cái tên tốt cho hàm tính tổng giá.</w:t>
      </w:r>
    </w:p>
    <w:p>
      <w:pPr>
        <w:pStyle w:val="ListBullet"/>
        <w:spacing w:after="60"/>
      </w:pPr>
      <w:r>
        <w:t>Tên class: Tên class phải sử dụng định dạng PascalCase, bắt đầu bằng chữ cái in hoa và không chứa dấu gạch dưới. Ví dụ, "ShoppingCart" là một tên class hợp lý.</w:t>
      </w:r>
    </w:p>
    <w:p>
      <w:pPr>
        <w:pStyle w:val="Heading2"/>
        <w:spacing w:before="200" w:after="80"/>
      </w:pPr>
      <w:r>
        <w:t>3.2. Cấu trúc thư mục dự án</w:t>
      </w:r>
    </w:p>
    <w:p>
      <w:pPr>
        <w:pStyle w:val="ListBullet"/>
        <w:spacing w:after="60"/>
      </w:pPr>
      <w:r>
        <w:t>Folder chính: Mỗi dự án phải có một thư mục chính, trong đó chứa tất cả các thư mục con như "src" (mã nguồn), "test" (kiểm thử), "docs" (tài liệu) và "lib" (thư viện).</w:t>
      </w:r>
    </w:p>
    <w:p>
      <w:pPr>
        <w:pStyle w:val="ListBullet"/>
        <w:spacing w:after="60"/>
      </w:pPr>
      <w:r>
        <w:t>Thư mục mã nguồn: Thư mục mã nguồn phải được tổ chức theo cấu trúc hợp lý, mỗi module hoặc tính năng nên được đặt trong thư mục riêng với tên rõ ràng.</w:t>
      </w:r>
    </w:p>
    <w:p>
      <w:pPr>
        <w:pStyle w:val="ListBullet"/>
        <w:spacing w:after="60"/>
      </w:pPr>
      <w:r>
        <w:t>Thư mục tài liệu: Tài liệu mô tả chức năng, cách sử dụng và hướng dẫn cài đặt phải được lưu trữ trong thư mục "docs". Tài liệu cần được cập nhật thường xuyên để phản ánh trạng thái hiện tại của dự án.</w:t>
      </w:r>
    </w:p>
    <w:tbl>
      <w:tblPr>
        <w:tblStyle w:val="TableGrid"/>
        <w:tblW w:type="auto" w:w="0"/>
        <w:tblLook w:firstColumn="1" w:firstRow="1" w:lastColumn="0" w:lastRow="0" w:noHBand="0" w:noVBand="1" w:val="04A0"/>
      </w:tblPr>
      <w:tblGrid>
        <w:gridCol w:w="3135"/>
        <w:gridCol w:w="3135"/>
        <w:gridCol w:w="3135"/>
      </w:tblGrid>
      <w:tr>
        <w:tc>
          <w:tcPr>
            <w:tcW w:type="dxa" w:w="3135"/>
          </w:tcPr>
          <w:p>
            <w:r>
              <w:rPr>
                <w:b/>
              </w:rPr>
              <w:t>Nội dung</w:t>
            </w:r>
          </w:p>
        </w:tc>
        <w:tc>
          <w:tcPr>
            <w:tcW w:type="dxa" w:w="3135"/>
          </w:tcPr>
          <w:p>
            <w:r>
              <w:rPr>
                <w:b/>
              </w:rPr>
              <w:t>Mô tả</w:t>
            </w:r>
          </w:p>
        </w:tc>
        <w:tc>
          <w:tcPr>
            <w:tcW w:type="dxa" w:w="3135"/>
          </w:tcPr>
          <w:p>
            <w:r>
              <w:rPr>
                <w:b/>
              </w:rPr>
              <w:t>Ví dụ</w:t>
            </w:r>
          </w:p>
        </w:tc>
      </w:tr>
      <w:tr>
        <w:tc>
          <w:tcPr>
            <w:tcW w:type="dxa" w:w="3135"/>
          </w:tcPr>
          <w:p>
            <w:r>
              <w:t>------------------</w:t>
            </w:r>
          </w:p>
        </w:tc>
        <w:tc>
          <w:tcPr>
            <w:tcW w:type="dxa" w:w="3135"/>
          </w:tcPr>
          <w:p>
            <w:r>
              <w:t>------------------</w:t>
            </w:r>
          </w:p>
        </w:tc>
        <w:tc>
          <w:tcPr>
            <w:tcW w:type="dxa" w:w="3135"/>
          </w:tcPr>
          <w:p>
            <w:r>
              <w:t>-------------------</w:t>
            </w:r>
          </w:p>
        </w:tc>
      </w:tr>
      <w:tr>
        <w:tc>
          <w:tcPr>
            <w:tcW w:type="dxa" w:w="3135"/>
          </w:tcPr>
          <w:p>
            <w:r>
              <w:t>Thư mục chính</w:t>
            </w:r>
          </w:p>
        </w:tc>
        <w:tc>
          <w:tcPr>
            <w:tcW w:type="dxa" w:w="3135"/>
          </w:tcPr>
          <w:p>
            <w:r>
              <w:t>Chứa toàn bộ mã nguồn và tài liệu</w:t>
            </w:r>
          </w:p>
        </w:tc>
        <w:tc>
          <w:tcPr>
            <w:tcW w:type="dxa" w:w="3135"/>
          </w:tcPr>
          <w:p>
            <w:r>
              <w:t>my_project/</w:t>
            </w:r>
          </w:p>
        </w:tc>
      </w:tr>
      <w:tr>
        <w:tc>
          <w:tcPr>
            <w:tcW w:type="dxa" w:w="3135"/>
          </w:tcPr>
          <w:p>
            <w:r>
              <w:t>Thư mục mã nguồn</w:t>
            </w:r>
          </w:p>
        </w:tc>
        <w:tc>
          <w:tcPr>
            <w:tcW w:type="dxa" w:w="3135"/>
          </w:tcPr>
          <w:p>
            <w:r>
              <w:t>Chứa mã nguồn ứng dụng</w:t>
            </w:r>
          </w:p>
        </w:tc>
        <w:tc>
          <w:tcPr>
            <w:tcW w:type="dxa" w:w="3135"/>
          </w:tcPr>
          <w:p>
            <w:r>
              <w:t>my_project/src/</w:t>
            </w:r>
          </w:p>
        </w:tc>
      </w:tr>
      <w:tr>
        <w:tc>
          <w:tcPr>
            <w:tcW w:type="dxa" w:w="3135"/>
          </w:tcPr>
          <w:p>
            <w:r>
              <w:t>Thư mục kiểm thử</w:t>
            </w:r>
          </w:p>
        </w:tc>
        <w:tc>
          <w:tcPr>
            <w:tcW w:type="dxa" w:w="3135"/>
          </w:tcPr>
          <w:p>
            <w:r>
              <w:t>Chứa mã kiểm thử</w:t>
            </w:r>
          </w:p>
        </w:tc>
        <w:tc>
          <w:tcPr>
            <w:tcW w:type="dxa" w:w="3135"/>
          </w:tcPr>
          <w:p>
            <w:r>
              <w:t>my_project/test/</w:t>
            </w:r>
          </w:p>
        </w:tc>
      </w:tr>
      <w:tr>
        <w:tc>
          <w:tcPr>
            <w:tcW w:type="dxa" w:w="3135"/>
          </w:tcPr>
          <w:p>
            <w:r>
              <w:t>Thư mục tài liệu</w:t>
            </w:r>
          </w:p>
        </w:tc>
        <w:tc>
          <w:tcPr>
            <w:tcW w:type="dxa" w:w="3135"/>
          </w:tcPr>
          <w:p>
            <w:r>
              <w:t>Chứa tài liệu hướng dẫn</w:t>
            </w:r>
          </w:p>
        </w:tc>
        <w:tc>
          <w:tcPr>
            <w:tcW w:type="dxa" w:w="3135"/>
          </w:tcPr>
          <w:p>
            <w:r>
              <w:t>my_project/docs/</w:t>
            </w:r>
          </w:p>
        </w:tc>
      </w:tr>
    </w:tbl>
    <w:p/>
    <w:p>
      <w:pPr>
        <w:pStyle w:val="Heading2"/>
        <w:spacing w:before="200" w:after="80"/>
      </w:pPr>
      <w:r>
        <w:t>3.3. Quy định về comment và docstring</w:t>
      </w:r>
    </w:p>
    <w:p>
      <w:pPr>
        <w:pStyle w:val="ListBullet"/>
        <w:spacing w:after="60"/>
      </w:pPr>
      <w:r>
        <w:t>Comment: Mỗi đoạn mã phức tạp phải có comment giải thích chức năng của nó. Comment cần ngắn gọn và đi vào trọng tâm, không lặp lại những gì đã được mã hóa.</w:t>
      </w:r>
    </w:p>
    <w:p>
      <w:pPr>
        <w:pStyle w:val="ListBullet"/>
        <w:spacing w:after="60"/>
      </w:pPr>
      <w:r>
        <w:t>Docstring: Mỗi hàm và class phải có docstring ở đầu, mô tả chức năng, tham số và giá trị trả về. Docstring cần tuân thủ định dạng chuẩn để dễ dàng tự động hóa tài liệu.</w:t>
      </w:r>
    </w:p>
    <w:p>
      <w:pPr>
        <w:pStyle w:val="ListBullet"/>
        <w:spacing w:after="60"/>
      </w:pPr>
      <w:r>
        <w:t>Ví dụ về docstring:</w:t>
      </w:r>
    </w:p>
    <w:p>
      <w:pPr>
        <w:spacing w:after="120"/>
      </w:pPr>
      <w:r>
        <w:t>""" Hàm tính tổng giá trị của giỏ hàng. Tham số:</w:t>
      </w:r>
    </w:p>
    <w:p>
      <w:pPr>
        <w:pStyle w:val="ListBullet"/>
        <w:spacing w:after="60"/>
      </w:pPr>
      <w:r>
        <w:t>items: danh sách các sản phẩm trong giỏ hàng.</w:t>
      </w:r>
    </w:p>
    <w:p>
      <w:pPr>
        <w:spacing w:after="120"/>
      </w:pPr>
      <w:r>
        <w:t>Trả về:</w:t>
      </w:r>
    </w:p>
    <w:p>
      <w:pPr>
        <w:pStyle w:val="ListBullet"/>
        <w:spacing w:after="60"/>
      </w:pPr>
      <w:r>
        <w:t>Tổng giá trị của giỏ hàng.</w:t>
      </w:r>
    </w:p>
    <w:p>
      <w:pPr>
        <w:spacing w:after="120"/>
      </w:pPr>
      <w:r>
        <w:t>"""</w:t>
      </w:r>
    </w:p>
    <w:p>
      <w:pPr>
        <w:pStyle w:val="Heading2"/>
        <w:spacing w:before="200" w:after="80"/>
      </w:pPr>
      <w:r>
        <w:t>3.4. Chuẩn format code</w:t>
      </w:r>
    </w:p>
    <w:p>
      <w:pPr>
        <w:pStyle w:val="ListBullet"/>
        <w:spacing w:after="60"/>
      </w:pPr>
      <w:r>
        <w:t>Linter: Tất cả mã nguồn phải được kiểm tra bằng công cụ linter để phát hiện lỗi cú pháp và vi phạm quy tắc viết mã. Nhân viên phải đảm bảo mã nguồn không có lỗi trước khi gửi cho code review.</w:t>
      </w:r>
    </w:p>
    <w:p>
      <w:pPr>
        <w:pStyle w:val="ListBullet"/>
        <w:spacing w:after="60"/>
      </w:pPr>
      <w:r>
        <w:t>Formatter: Mã nguồn phải được định dạng bằng công cụ formatter để đảm bảo tính đồng nhất về kiểu dáng. Nhân viên nên cài đặt các công cụ tự động định dạng mã khi lưu tập tin.</w:t>
      </w:r>
    </w:p>
    <w:p>
      <w:pPr>
        <w:pStyle w:val="ListBullet"/>
        <w:spacing w:after="60"/>
      </w:pPr>
      <w:r>
        <w:t>Các quy tắc formatting cụ thể như kích thước tab (2 hoặc 4 spaces), ký tự kết thúc dòng và quy tắc đặt dấu cách trong các biểu thức.</w:t>
      </w:r>
    </w:p>
    <w:p>
      <w:pPr>
        <w:pStyle w:val="Heading2"/>
        <w:spacing w:before="200" w:after="80"/>
      </w:pPr>
      <w:r>
        <w:t>3.5. Quy trình code review</w:t>
      </w:r>
    </w:p>
    <w:p>
      <w:pPr>
        <w:pStyle w:val="ListBullet"/>
        <w:spacing w:after="60"/>
      </w:pPr>
      <w:r>
        <w:t>Số lượng reviewer: Mỗi pull request cần ít nhất hai reviewer để đảm bảo mã được kiểm tra kỹ lưỡng. Nếu có bất kỳ sự không đồng thuận nào, cần có sự tham gia của trưởng nhóm.</w:t>
      </w:r>
    </w:p>
    <w:p>
      <w:pPr>
        <w:pStyle w:val="ListBullet"/>
        <w:spacing w:after="60"/>
      </w:pPr>
      <w:r>
        <w:t>Checklist review: Trước khi phê duyệt mã, reviewer cần kiểm tra các tiêu chí như: mã có tuân thủ quy chuẩn không, có lỗi cú pháp không, và chức năng đã được kiểm thử chưa.</w:t>
      </w:r>
    </w:p>
    <w:p>
      <w:pPr>
        <w:pStyle w:val="ListBullet"/>
        <w:spacing w:after="60"/>
      </w:pPr>
      <w:r>
        <w:t>Quy trình phê duyệt: Sau khi hoàn thành review, reviewer cần phản hồi và yêu cầu sửa đổi nếu cần thiết. Chỉ khi đủ điều kiện, mã mới được hợp nhất vào nhánh chính.</w:t>
      </w:r>
    </w:p>
    <w:p>
      <w:pPr>
        <w:pStyle w:val="Heading1"/>
        <w:spacing w:before="280" w:after="120"/>
      </w:pPr>
      <w:r>
        <w:t>IV. TRÁCH NHIỆM CỦA CÁC BỘ PHẬN VÀ CÁ NHÂN</w:t>
      </w:r>
    </w:p>
    <w:tbl>
      <w:tblPr>
        <w:tblStyle w:val="TableGrid"/>
        <w:tblW w:type="auto" w:w="0"/>
        <w:tblLook w:firstColumn="1" w:firstRow="1" w:lastColumn="0" w:lastRow="0" w:noHBand="0" w:noVBand="1" w:val="04A0"/>
      </w:tblPr>
      <w:tblGrid>
        <w:gridCol w:w="3135"/>
        <w:gridCol w:w="3135"/>
        <w:gridCol w:w="3135"/>
      </w:tblGrid>
      <w:tr>
        <w:tc>
          <w:tcPr>
            <w:tcW w:type="dxa" w:w="3135"/>
          </w:tcPr>
          <w:p>
            <w:r>
              <w:rPr>
                <w:b/>
              </w:rPr>
              <w:t>Vai trò/Bộ phận</w:t>
            </w:r>
          </w:p>
        </w:tc>
        <w:tc>
          <w:tcPr>
            <w:tcW w:type="dxa" w:w="3135"/>
          </w:tcPr>
          <w:p>
            <w:r>
              <w:rPr>
                <w:b/>
              </w:rPr>
              <w:t>Trách nhiệm</w:t>
            </w:r>
          </w:p>
        </w:tc>
        <w:tc>
          <w:tcPr>
            <w:tcW w:type="dxa" w:w="3135"/>
          </w:tcPr>
          <w:p>
            <w:r>
              <w:rPr>
                <w:b/>
              </w:rPr>
              <w:t>Chi tiết</w:t>
            </w:r>
          </w:p>
        </w:tc>
      </w:tr>
      <w:tr>
        <w:tc>
          <w:tcPr>
            <w:tcW w:type="dxa" w:w="3135"/>
          </w:tcPr>
          <w:p>
            <w:r>
              <w:t>------------------</w:t>
            </w:r>
          </w:p>
        </w:tc>
        <w:tc>
          <w:tcPr>
            <w:tcW w:type="dxa" w:w="3135"/>
          </w:tcPr>
          <w:p>
            <w:r>
              <w:t>------------------</w:t>
            </w:r>
          </w:p>
        </w:tc>
        <w:tc>
          <w:tcPr>
            <w:tcW w:type="dxa" w:w="3135"/>
          </w:tcPr>
          <w:p>
            <w:r>
              <w:t>-------------------</w:t>
            </w:r>
          </w:p>
        </w:tc>
      </w:tr>
      <w:tr>
        <w:tc>
          <w:tcPr>
            <w:tcW w:type="dxa" w:w="3135"/>
          </w:tcPr>
          <w:p>
            <w:r>
              <w:t>Lập trình viên</w:t>
            </w:r>
          </w:p>
        </w:tc>
        <w:tc>
          <w:tcPr>
            <w:tcW w:type="dxa" w:w="3135"/>
          </w:tcPr>
          <w:p>
            <w:r>
              <w:t>Thực hiện viết mã</w:t>
            </w:r>
          </w:p>
        </w:tc>
        <w:tc>
          <w:tcPr>
            <w:tcW w:type="dxa" w:w="3135"/>
          </w:tcPr>
          <w:p>
            <w:r>
              <w:t>Đảm bảo mã nguồn tuân thủ quy chuẩn</w:t>
            </w:r>
          </w:p>
        </w:tc>
      </w:tr>
      <w:tr>
        <w:tc>
          <w:tcPr>
            <w:tcW w:type="dxa" w:w="3135"/>
          </w:tcPr>
          <w:p>
            <w:r>
              <w:t>Kiểm thử viên</w:t>
            </w:r>
          </w:p>
        </w:tc>
        <w:tc>
          <w:tcPr>
            <w:tcW w:type="dxa" w:w="3135"/>
          </w:tcPr>
          <w:p>
            <w:r>
              <w:t>Thực hiện kiểm tra</w:t>
            </w:r>
          </w:p>
        </w:tc>
        <w:tc>
          <w:tcPr>
            <w:tcW w:type="dxa" w:w="3135"/>
          </w:tcPr>
          <w:p>
            <w:r>
              <w:t>Kiểm tra tính năng và phát hiện lỗi</w:t>
            </w:r>
          </w:p>
        </w:tc>
      </w:tr>
      <w:tr>
        <w:tc>
          <w:tcPr>
            <w:tcW w:type="dxa" w:w="3135"/>
          </w:tcPr>
          <w:p>
            <w:r>
              <w:t>Quản lý dự án</w:t>
            </w:r>
          </w:p>
        </w:tc>
        <w:tc>
          <w:tcPr>
            <w:tcW w:type="dxa" w:w="3135"/>
          </w:tcPr>
          <w:p>
            <w:r>
              <w:t>Quản lý quy trình</w:t>
            </w:r>
          </w:p>
        </w:tc>
        <w:tc>
          <w:tcPr>
            <w:tcW w:type="dxa" w:w="3135"/>
          </w:tcPr>
          <w:p>
            <w:r>
              <w:t>Đảm bảo tiến độ và chất lượng dự án</w:t>
            </w:r>
          </w:p>
        </w:tc>
      </w:tr>
      <w:tr>
        <w:tc>
          <w:tcPr>
            <w:tcW w:type="dxa" w:w="3135"/>
          </w:tcPr>
          <w:p>
            <w:r>
              <w:t>Trưởng nhóm phát triển</w:t>
            </w:r>
          </w:p>
        </w:tc>
        <w:tc>
          <w:tcPr>
            <w:tcW w:type="dxa" w:w="3135"/>
          </w:tcPr>
          <w:p>
            <w:r>
              <w:t>Hướng dẫn và đánh giá</w:t>
            </w:r>
          </w:p>
        </w:tc>
        <w:tc>
          <w:tcPr>
            <w:tcW w:type="dxa" w:w="3135"/>
          </w:tcPr>
          <w:p>
            <w:r>
              <w:t>Đánh giá chất lượng mã và hướng dẫn lập trình viên</w:t>
            </w:r>
          </w:p>
        </w:tc>
      </w:tr>
    </w:tbl>
    <w:p/>
    <w:p>
      <w:pPr>
        <w:pStyle w:val="Heading1"/>
        <w:spacing w:before="280" w:after="120"/>
      </w:pPr>
      <w:r>
        <w:t>V. CHẾ TÀI XỬ LÝ VI PHẠM</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b/>
              </w:rPr>
              <w:t>Hành vi vi phạm</w:t>
            </w:r>
          </w:p>
        </w:tc>
        <w:tc>
          <w:tcPr>
            <w:tcW w:type="dxa" w:w="2351"/>
          </w:tcPr>
          <w:p>
            <w:r>
              <w:rPr>
                <w:b/>
              </w:rPr>
              <w:t>Số lần vi phạm</w:t>
            </w:r>
          </w:p>
        </w:tc>
        <w:tc>
          <w:tcPr>
            <w:tcW w:type="dxa" w:w="2351"/>
          </w:tcPr>
          <w:p>
            <w:r>
              <w:rPr>
                <w:b/>
              </w:rPr>
              <w:t>Hình thức xử lý</w:t>
            </w:r>
          </w:p>
        </w:tc>
        <w:tc>
          <w:tcPr>
            <w:tcW w:type="dxa" w:w="2351"/>
          </w:tcPr>
          <w:p>
            <w:r>
              <w:rPr>
                <w:b/>
              </w:rPr>
              <w:t>Mức phạt (VNĐ)</w:t>
            </w:r>
          </w:p>
        </w:tc>
      </w:tr>
      <w:tr>
        <w:tc>
          <w:tcPr>
            <w:tcW w:type="dxa" w:w="2351"/>
          </w:tcPr>
          <w:p>
            <w:r>
              <w:t>------------------</w:t>
            </w:r>
          </w:p>
        </w:tc>
        <w:tc>
          <w:tcPr>
            <w:tcW w:type="dxa" w:w="2351"/>
          </w:tcPr>
          <w:p>
            <w:r>
              <w:t>------------------</w:t>
            </w:r>
          </w:p>
        </w:tc>
        <w:tc>
          <w:tcPr>
            <w:tcW w:type="dxa" w:w="2351"/>
          </w:tcPr>
          <w:p>
            <w:r>
              <w:t>------------------</w:t>
            </w:r>
          </w:p>
        </w:tc>
        <w:tc>
          <w:tcPr>
            <w:tcW w:type="dxa" w:w="2351"/>
          </w:tcPr>
          <w:p>
            <w:r>
              <w:t>-------------------</w:t>
            </w:r>
          </w:p>
        </w:tc>
      </w:tr>
      <w:tr>
        <w:tc>
          <w:tcPr>
            <w:tcW w:type="dxa" w:w="2351"/>
          </w:tcPr>
          <w:p>
            <w:r>
              <w:t>Vi phạm quy tắc đặt tên</w:t>
            </w:r>
          </w:p>
        </w:tc>
        <w:tc>
          <w:tcPr>
            <w:tcW w:type="dxa" w:w="2351"/>
          </w:tcPr>
          <w:p>
            <w:r>
              <w:t>1 lần</w:t>
            </w:r>
          </w:p>
        </w:tc>
        <w:tc>
          <w:tcPr>
            <w:tcW w:type="dxa" w:w="2351"/>
          </w:tcPr>
          <w:p>
            <w:r>
              <w:t>Nhắc nhở</w:t>
            </w:r>
          </w:p>
        </w:tc>
        <w:tc>
          <w:tcPr>
            <w:tcW w:type="dxa" w:w="2351"/>
          </w:tcPr>
          <w:p>
            <w:r>
              <w:t>500.000</w:t>
            </w:r>
          </w:p>
        </w:tc>
      </w:tr>
      <w:tr>
        <w:tc>
          <w:tcPr>
            <w:tcW w:type="dxa" w:w="2351"/>
          </w:tcPr>
          <w:p>
            <w:r>
              <w:t>Không thực hiện code review</w:t>
            </w:r>
          </w:p>
        </w:tc>
        <w:tc>
          <w:tcPr>
            <w:tcW w:type="dxa" w:w="2351"/>
          </w:tcPr>
          <w:p>
            <w:r>
              <w:t>2 lần</w:t>
            </w:r>
          </w:p>
        </w:tc>
        <w:tc>
          <w:tcPr>
            <w:tcW w:type="dxa" w:w="2351"/>
          </w:tcPr>
          <w:p>
            <w:r>
              <w:t>Khiển trách</w:t>
            </w:r>
          </w:p>
        </w:tc>
        <w:tc>
          <w:tcPr>
            <w:tcW w:type="dxa" w:w="2351"/>
          </w:tcPr>
          <w:p>
            <w:r>
              <w:t>1.000.000</w:t>
            </w:r>
          </w:p>
        </w:tc>
      </w:tr>
      <w:tr>
        <w:tc>
          <w:tcPr>
            <w:tcW w:type="dxa" w:w="2351"/>
          </w:tcPr>
          <w:p>
            <w:r>
              <w:t>Lỗi cú pháp không được phát hiện</w:t>
            </w:r>
          </w:p>
        </w:tc>
        <w:tc>
          <w:tcPr>
            <w:tcW w:type="dxa" w:w="2351"/>
          </w:tcPr>
          <w:p>
            <w:r>
              <w:t>3 lần</w:t>
            </w:r>
          </w:p>
        </w:tc>
        <w:tc>
          <w:tcPr>
            <w:tcW w:type="dxa" w:w="2351"/>
          </w:tcPr>
          <w:p>
            <w:r>
              <w:t>Kỷ luật</w:t>
            </w:r>
          </w:p>
        </w:tc>
        <w:tc>
          <w:tcPr>
            <w:tcW w:type="dxa" w:w="2351"/>
          </w:tcPr>
          <w:p>
            <w:r>
              <w:t>2.000.000</w:t>
            </w:r>
          </w:p>
        </w:tc>
      </w:tr>
      <w:tr>
        <w:tc>
          <w:tcPr>
            <w:tcW w:type="dxa" w:w="2351"/>
          </w:tcPr>
          <w:p>
            <w:r>
              <w:t>Không cập nhật tài liệu</w:t>
            </w:r>
          </w:p>
        </w:tc>
        <w:tc>
          <w:tcPr>
            <w:tcW w:type="dxa" w:w="2351"/>
          </w:tcPr>
          <w:p>
            <w:r>
              <w:t>1 lần</w:t>
            </w:r>
          </w:p>
        </w:tc>
        <w:tc>
          <w:tcPr>
            <w:tcW w:type="dxa" w:w="2351"/>
          </w:tcPr>
          <w:p>
            <w:r>
              <w:t>Nhắc nhở</w:t>
            </w:r>
          </w:p>
        </w:tc>
        <w:tc>
          <w:tcPr>
            <w:tcW w:type="dxa" w:w="2351"/>
          </w:tcPr>
          <w:p>
            <w:r>
              <w:t>300.000</w:t>
            </w:r>
          </w:p>
        </w:tc>
      </w:tr>
    </w:tbl>
    <w:p/>
    <w:p>
      <w:pPr>
        <w:pStyle w:val="Heading1"/>
        <w:spacing w:before="280" w:after="120"/>
      </w:pPr>
      <w:r>
        <w:t>VI. ĐIỀU KHOẢN THI HÀNH</w:t>
      </w:r>
    </w:p>
    <w:p>
      <w:pPr>
        <w:spacing w:after="120"/>
      </w:pPr>
      <w:r>
        <w:t>Quy chuẩn viết mã nguồn (Coding Convention) nội bộ Công ty TNHH Công nghệ VSF có hiệu lực từ ngày 01 tháng 07 năm 2026. Mọi quy định, văn bản trước đây liên quan đến viết mã nguồn sẽ được bãi bỏ. Trách nhiệm phổ biến văn bản này thuộc về phòng nhân sự và trưởng các bộ phận liên quan. Cơ chế cập nhật và sửa đổi quy chuẩn này sẽ được thực hiện theo định kỳ hàng năm hoặc khi có thay đổi lớn trong quy trình phát triển phần mềm tại công ty.</w:t>
      </w:r>
    </w:p>
    <w:p>
      <w:pPr>
        <w:spacing w:after="120"/>
      </w:pPr>
      <w:r>
        <w:t>TP. Ho Chi Minh, ngày 01 tháng 07 năm 2026</w:t>
      </w:r>
    </w:p>
    <w:p>
      <w:pPr>
        <w:pStyle w:val="Heading1"/>
        <w:spacing w:before="280" w:after="120"/>
      </w:pPr>
      <w:r>
        <w:t>GIAM DOC DIEU HANH</w:t>
      </w:r>
    </w:p>
    <w:p>
      <w:pPr>
        <w:spacing w:after="120"/>
      </w:pPr>
      <w:r>
        <w:t>Nguyen Minh Thanh</w:t>
      </w:r>
    </w:p>
    <w:p/>
    <w:p>
      <w:pPr>
        <w:jc w:val="right"/>
      </w:pPr>
      <w:r>
        <w:rPr>
          <w:i/>
        </w:rPr>
        <w:t>TP. Hồ Chí Minh, ngày 01 tháng 07 năm 2026</w:t>
      </w:r>
    </w:p>
    <w:p>
      <w:pPr>
        <w:jc w:val="right"/>
      </w:pPr>
      <w:r>
        <w:rPr>
          <w:b/>
        </w:rPr>
        <w:t>GIÁM ĐỐC ĐIỀU HÀNH</w:t>
      </w:r>
    </w:p>
    <w:p/>
    <w:p/>
    <w:p/>
    <w:p>
      <w:pPr>
        <w:jc w:val="right"/>
      </w:pPr>
      <w:r>
        <w:rPr>
          <w:b/>
        </w:rPr>
        <w:t>Nguyễn Minh Thành</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