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VSF/60_QC_HOA_HONG_COMMI</w:t>
      </w:r>
    </w:p>
    <w:p/>
    <w:p>
      <w:pPr>
        <w:jc w:val="center"/>
      </w:pPr>
      <w:r>
        <w:rPr>
          <w:b/>
          <w:sz w:val="28"/>
        </w:rPr>
        <w:t>QUY CHẾ TÍNH VÀ CHI TRẢ HOA HỒNG SALES (COMMISSION POLICY)</w:t>
      </w:r>
    </w:p>
    <w:p/>
    <w:p>
      <w:pPr>
        <w:pStyle w:val="Heading1"/>
        <w:spacing w:before="280" w:after="120"/>
      </w:pPr>
      <w:r>
        <w:t>CÔNG TY TNHH CÔNG NGHỆ VSF</w:t>
      </w:r>
    </w:p>
    <w:p>
      <w:pPr>
        <w:spacing w:after="120"/>
      </w:pPr>
      <w:r>
        <w:t>Địa chỉ: Số 123, Đường ABC, Phường XYZ, Quận 1, TP. Hồ Chí Minh Số điện thoại: (08) 1234 5678 Email: info@vsftech.com</w:t>
      </w:r>
    </w:p>
    <w:p>
      <w:pPr>
        <w:pStyle w:val="Heading1"/>
        <w:spacing w:before="280" w:after="120"/>
      </w:pPr>
      <w:r>
        <w:t>I. PHẠM VI VÀ ĐỐI TƯỢNG ÁP DỤNG</w:t>
      </w:r>
    </w:p>
    <w:p>
      <w:pPr>
        <w:spacing w:after="120"/>
      </w:pPr>
      <w:r>
        <w:t>Quy chế này quy định về việc tính và chi trả hoa hồng cho nhân viên sales tại Công ty TNHH Công nghệ VSF. Phạm vi áp dụng của quy chế này bao gồm tất cả các nhân viên thuộc phòng kinh doanh và bán hàng của công ty, bao gồm cả nhân viên bán hàng trực tiếp và gián tiếp. Thời gian áp dụng quy chế này bắt đầu từ ngày 01 tháng 07 năm 2026 đến khi có quy định mới. Các đối tượng không nằm trong phạm vi áp dụng bao gồm nhân viên thuộc bộ phận hành chính, nhân sự và các bộ phận không liên quan trực tiếp đến doanh thu từ bán hàng. Quy chế này nhằm đảm bảo tính minh bạch, công bằng và khuyến khích nhân viên trong việc đạt được mục tiêu doanh thu của công ty.</w:t>
      </w:r>
    </w:p>
    <w:p>
      <w:pPr>
        <w:pStyle w:val="Heading1"/>
        <w:spacing w:before="280" w:after="120"/>
      </w:pPr>
      <w:r>
        <w:t>II. ĐỊNH NGHĨA VÀ GIẢI THÍCH THUẬT NGỮ</w:t>
      </w:r>
    </w:p>
    <w:p>
      <w:pPr>
        <w:pStyle w:val="ListNumber"/>
        <w:spacing w:after="60"/>
      </w:pPr>
      <w:r>
        <w:t>1. Hoa hồng (Commission): Là khoản tiền mà nhân viên sales nhận được dựa trên doanh thu mà họ tạo ra từ việc bán sản phẩm hoặc dịch vụ của công ty. Khoản tiền này thường được tính theo tỷ lệ phần trăm của doanh thu bán hàng.</w:t>
      </w:r>
    </w:p>
    <w:p>
      <w:pPr>
        <w:pStyle w:val="ListNumber"/>
        <w:spacing w:after="60"/>
      </w:pPr>
      <w:r>
        <w:t>2. Doanh thu (Revenue): Là tổng số tiền mà công ty thu được từ việc bán sản phẩm hoặc dịch vụ trong một khoảng thời gian nhất định. Doanh thu được sử dụng để tính toán hoa hồng cho nhân viên.</w:t>
      </w:r>
    </w:p>
    <w:p>
      <w:pPr>
        <w:pStyle w:val="ListNumber"/>
        <w:spacing w:after="60"/>
      </w:pPr>
      <w:r>
        <w:t>3. Target: Là mục tiêu doanh thu mà mỗi nhân viên sales cần đạt được trong một khoảng thời gian nhất định (hàng tháng hoặc hàng quý). Mục tiêu này được xác định dựa trên kế hoạch kinh doanh của công ty.</w:t>
      </w:r>
    </w:p>
    <w:p>
      <w:pPr>
        <w:pStyle w:val="ListNumber"/>
        <w:spacing w:after="60"/>
      </w:pPr>
      <w:r>
        <w:t>4. Upsell: Là hành vi bán thêm sản phẩm hoặc dịch vụ cho khách hàng hiện tại, nhằm gia tăng giá trị đơn hàng và doanh thu cho công ty. Nhân viên sẽ nhận hoa hồng cho các hợp đồng upsell này.</w:t>
      </w:r>
    </w:p>
    <w:p>
      <w:pPr>
        <w:pStyle w:val="ListNumber"/>
        <w:spacing w:after="60"/>
      </w:pPr>
      <w:r>
        <w:t>5. Gia hạn hợp đồng (Contract Renewal): Là việc khách hàng tiếp tục sử dụng sản phẩm hoặc dịch vụ của công ty sau khi hợp đồng hiện tại hết hạn. Nhân viên sẽ được hưởng hoa hồng cho các hợp đồng gia hạn này.</w:t>
      </w:r>
    </w:p>
    <w:p>
      <w:pPr>
        <w:pStyle w:val="ListNumber"/>
        <w:spacing w:after="60"/>
      </w:pPr>
      <w:r>
        <w:t>6. Xác nhận doanh thu (Revenue Confirmation): Là quy trình mà bộ phận tài chính thực hiện để xác nhận doanh thu từ các giao dịch bán hàng, đảm bảo tính chính xác và minh bạch trước khi chi trả hoa hồng cho nhân viên.</w:t>
      </w:r>
    </w:p>
    <w:p>
      <w:pPr>
        <w:pStyle w:val="Heading1"/>
        <w:spacing w:before="280" w:after="120"/>
      </w:pPr>
      <w:r>
        <w:t>III. NỘI DUNG QUY ĐỊNH / QUY TRÌNH CHI TIẾT</w:t>
      </w:r>
    </w:p>
    <w:p>
      <w:pPr>
        <w:pStyle w:val="Heading2"/>
        <w:spacing w:before="200" w:after="80"/>
      </w:pPr>
      <w:r>
        <w:t>3.1. Cấu trúc hoa hồng</w:t>
      </w:r>
    </w:p>
    <w:p>
      <w:pPr>
        <w:pStyle w:val="ListBullet"/>
        <w:spacing w:after="60"/>
      </w:pPr>
      <w:r>
        <w:t>Tỷ lệ hoa hồng sẽ được tính dựa trên doanh thu thực tế từ các sản phẩm và dịch vụ mà nhân viên bán ra.</w:t>
      </w:r>
    </w:p>
    <w:p>
      <w:pPr>
        <w:pStyle w:val="ListBullet"/>
        <w:spacing w:after="60"/>
      </w:pPr>
      <w:r>
        <w:t>Tỷ lệ phần trăm hoa hồng cụ thể cho từng loại sản phẩm/dịch vụ sẽ được quy định trong bảng dưới đây:</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Loại sản phẩm/dịch vụ</w:t>
            </w:r>
          </w:p>
        </w:tc>
        <w:tc>
          <w:tcPr>
            <w:tcW w:type="dxa" w:w="3135"/>
          </w:tcPr>
          <w:p>
            <w:r>
              <w:rPr>
                <w:b/>
              </w:rPr>
              <w:t>Tỷ lệ hoa hồng (%)</w:t>
            </w:r>
          </w:p>
        </w:tc>
        <w:tc>
          <w:tcPr>
            <w:tcW w:type="dxa" w:w="3135"/>
          </w:tcPr>
          <w:p>
            <w:r>
              <w:rPr>
                <w:b/>
              </w:rPr>
              <w:t>Ghi chú</w:t>
            </w:r>
          </w:p>
        </w:tc>
      </w:tr>
      <w:tr>
        <w:tc>
          <w:tcPr>
            <w:tcW w:type="dxa" w:w="3135"/>
          </w:tcPr>
          <w:p>
            <w:r>
              <w:t>Sản phẩm phần mềm</w:t>
            </w:r>
          </w:p>
        </w:tc>
        <w:tc>
          <w:tcPr>
            <w:tcW w:type="dxa" w:w="3135"/>
          </w:tcPr>
          <w:p>
            <w:r>
              <w:t>10%</w:t>
            </w:r>
          </w:p>
        </w:tc>
        <w:tc>
          <w:tcPr>
            <w:tcW w:type="dxa" w:w="3135"/>
          </w:tcPr>
          <w:p>
            <w:r>
              <w:t>Theo doanh thu</w:t>
            </w:r>
          </w:p>
        </w:tc>
      </w:tr>
      <w:tr>
        <w:tc>
          <w:tcPr>
            <w:tcW w:type="dxa" w:w="3135"/>
          </w:tcPr>
          <w:p>
            <w:r>
              <w:t>Dịch vụ bảo trì</w:t>
            </w:r>
          </w:p>
        </w:tc>
        <w:tc>
          <w:tcPr>
            <w:tcW w:type="dxa" w:w="3135"/>
          </w:tcPr>
          <w:p>
            <w:r>
              <w:t>8%</w:t>
            </w:r>
          </w:p>
        </w:tc>
        <w:tc>
          <w:tcPr>
            <w:tcW w:type="dxa" w:w="3135"/>
          </w:tcPr>
          <w:p>
            <w:r>
              <w:t>Theo doanh thu</w:t>
            </w:r>
          </w:p>
        </w:tc>
      </w:tr>
      <w:tr>
        <w:tc>
          <w:tcPr>
            <w:tcW w:type="dxa" w:w="3135"/>
          </w:tcPr>
          <w:p>
            <w:r>
              <w:t>Giải pháp tùy chỉnh</w:t>
            </w:r>
          </w:p>
        </w:tc>
        <w:tc>
          <w:tcPr>
            <w:tcW w:type="dxa" w:w="3135"/>
          </w:tcPr>
          <w:p>
            <w:r>
              <w:t>12%</w:t>
            </w:r>
          </w:p>
        </w:tc>
        <w:tc>
          <w:tcPr>
            <w:tcW w:type="dxa" w:w="3135"/>
          </w:tcPr>
          <w:p>
            <w:r>
              <w:t>Theo doanh thu</w:t>
            </w:r>
          </w:p>
        </w:tc>
      </w:tr>
    </w:tbl>
    <w:p/>
    <w:p>
      <w:pPr>
        <w:pStyle w:val="ListBullet"/>
        <w:spacing w:after="60"/>
      </w:pPr>
      <w:r>
        <w:t>Tỷ lệ hoa hồng có thể được điều chỉnh theo từng giai đoạn, tùy theo chính sách của công ty và thị trường.</w:t>
      </w:r>
    </w:p>
    <w:p>
      <w:pPr>
        <w:pStyle w:val="Heading2"/>
        <w:spacing w:before="200" w:after="80"/>
      </w:pPr>
      <w:r>
        <w:t>3.2. Mức target hàng tháng/quý</w:t>
      </w:r>
    </w:p>
    <w:p>
      <w:pPr>
        <w:pStyle w:val="ListBullet"/>
        <w:spacing w:after="60"/>
      </w:pPr>
      <w:r>
        <w:t>Mỗi nhân viên sales sẽ có một mục tiêu doanh thu cụ thể hàng tháng và hàng quý, được thông báo trước đầu mỗi tháng.</w:t>
      </w:r>
    </w:p>
    <w:p>
      <w:pPr>
        <w:pStyle w:val="ListBullet"/>
        <w:spacing w:after="60"/>
      </w:pPr>
      <w:r>
        <w:t>Mục tiêu này sẽ dựa trên hiệu suất bán hàng của tháng trước và kế hoạch phát triển của công ty.</w:t>
      </w:r>
    </w:p>
    <w:p>
      <w:pPr>
        <w:pStyle w:val="ListBullet"/>
        <w:spacing w:after="60"/>
      </w:pPr>
      <w:r>
        <w:t>Nhân viên sẽ được khuyến khích đạt và vượt chỉ tiêu để nhận thêm các khoản thưởng.</w:t>
      </w:r>
    </w:p>
    <w:p>
      <w:pPr>
        <w:pStyle w:val="Heading2"/>
        <w:spacing w:before="200" w:after="80"/>
      </w:pPr>
      <w:r>
        <w:t>3.3. Thưởng vượt target</w:t>
      </w:r>
    </w:p>
    <w:p>
      <w:pPr>
        <w:pStyle w:val="ListBullet"/>
        <w:spacing w:after="60"/>
      </w:pPr>
      <w:r>
        <w:t>Nhân viên đạt doanh thu vượt mức target sẽ được hưởng thưởng theo quy định.</w:t>
      </w:r>
    </w:p>
    <w:p>
      <w:pPr>
        <w:pStyle w:val="ListBullet"/>
        <w:spacing w:after="60"/>
      </w:pPr>
      <w:r>
        <w:t>Mức thưởng sẽ được quy định cụ thể trong từng giai đoạn và thông báo đến nhân viên.</w:t>
      </w:r>
    </w:p>
    <w:p>
      <w:pPr>
        <w:pStyle w:val="ListBullet"/>
        <w:spacing w:after="60"/>
      </w:pPr>
      <w:r>
        <w:t>Thưởng không chỉ dựa vào doanh thu mà còn vào chất lượng dịch vụ và sự hài lòng của khách hàng.</w:t>
      </w:r>
    </w:p>
    <w:p>
      <w:pPr>
        <w:pStyle w:val="Heading2"/>
        <w:spacing w:before="200" w:after="80"/>
      </w:pPr>
      <w:r>
        <w:t>3.4. Hoa hồng cho hợp đồng gia hạn và upsell</w:t>
      </w:r>
    </w:p>
    <w:p>
      <w:pPr>
        <w:pStyle w:val="ListBullet"/>
        <w:spacing w:after="60"/>
      </w:pPr>
      <w:r>
        <w:t>Nhân viên sẽ nhận hoa hồng cho các hợp đồng gia hạn và upsell mà họ thực hiện thành công.</w:t>
      </w:r>
    </w:p>
    <w:p>
      <w:pPr>
        <w:pStyle w:val="ListBullet"/>
        <w:spacing w:after="60"/>
      </w:pPr>
      <w:r>
        <w:t>Tỷ lệ hoa hồng cho hợp đồng gia hạn và upsell sẽ tương tự như hoa hồng cho hợp đồng mới.</w:t>
      </w:r>
    </w:p>
    <w:p>
      <w:pPr>
        <w:pStyle w:val="ListBullet"/>
        <w:spacing w:after="60"/>
      </w:pPr>
      <w:r>
        <w:t>Để nhận hoa hồng, nhân viên phải đảm bảo rằng hợp đồng đã được xác nhận bởi bộ phận tài chính.</w:t>
      </w:r>
    </w:p>
    <w:p>
      <w:pPr>
        <w:pStyle w:val="Heading2"/>
        <w:spacing w:before="200" w:after="80"/>
      </w:pPr>
      <w:r>
        <w:t>3.5. Quy trình xác nhận doanh thu</w:t>
      </w:r>
    </w:p>
    <w:p>
      <w:pPr>
        <w:pStyle w:val="ListBullet"/>
        <w:spacing w:after="60"/>
      </w:pPr>
      <w:r>
        <w:t>Bộ phận tài chính sẽ thực hiện xác nhận doanh thu hàng tháng sau khi nhận thông tin từ bộ phận sales.</w:t>
      </w:r>
    </w:p>
    <w:p>
      <w:pPr>
        <w:pStyle w:val="ListBullet"/>
        <w:spacing w:after="60"/>
      </w:pPr>
      <w:r>
        <w:t>Thời gian xác nhận doanh thu sẽ diễn ra vào tuần thứ hai của tháng tiếp theo.</w:t>
      </w:r>
    </w:p>
    <w:p>
      <w:pPr>
        <w:pStyle w:val="ListBullet"/>
        <w:spacing w:after="60"/>
      </w:pPr>
      <w:r>
        <w:t>Sau khi xác nhận, hoa hồng sẽ được tính và chi trả cho nhân viên sales theo quy định.</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Vai trò/bộ phận</w:t>
            </w:r>
          </w:p>
        </w:tc>
        <w:tc>
          <w:tcPr>
            <w:tcW w:type="dxa" w:w="3135"/>
          </w:tcPr>
          <w:p>
            <w:r>
              <w:rPr>
                <w:b/>
              </w:rPr>
              <w:t>Trách nhiệm</w:t>
            </w:r>
          </w:p>
        </w:tc>
        <w:tc>
          <w:tcPr>
            <w:tcW w:type="dxa" w:w="3135"/>
          </w:tcPr>
          <w:p>
            <w:r>
              <w:rPr>
                <w:b/>
              </w:rPr>
              <w:t>Ghi chú</w:t>
            </w:r>
          </w:p>
        </w:tc>
      </w:tr>
      <w:tr>
        <w:tc>
          <w:tcPr>
            <w:tcW w:type="dxa" w:w="3135"/>
          </w:tcPr>
          <w:p>
            <w:r>
              <w:t>Nhân viên sales</w:t>
            </w:r>
          </w:p>
        </w:tc>
        <w:tc>
          <w:tcPr>
            <w:tcW w:type="dxa" w:w="3135"/>
          </w:tcPr>
          <w:p>
            <w:r>
              <w:t>Đạt mục tiêu doanh thu</w:t>
            </w:r>
          </w:p>
        </w:tc>
        <w:tc>
          <w:tcPr>
            <w:tcW w:type="dxa" w:w="3135"/>
          </w:tcPr>
          <w:p>
            <w:r>
              <w:t>Thực hiện các giao dịch bán hàng và chăm sóc khách hàng</w:t>
            </w:r>
          </w:p>
        </w:tc>
      </w:tr>
      <w:tr>
        <w:tc>
          <w:tcPr>
            <w:tcW w:type="dxa" w:w="3135"/>
          </w:tcPr>
          <w:p>
            <w:r>
              <w:t>Bộ phận tài chính</w:t>
            </w:r>
          </w:p>
        </w:tc>
        <w:tc>
          <w:tcPr>
            <w:tcW w:type="dxa" w:w="3135"/>
          </w:tcPr>
          <w:p>
            <w:r>
              <w:t>Xác nhận doanh thu</w:t>
            </w:r>
          </w:p>
        </w:tc>
        <w:tc>
          <w:tcPr>
            <w:tcW w:type="dxa" w:w="3135"/>
          </w:tcPr>
          <w:p>
            <w:r>
              <w:t>Đảm bảo tính chính xác trong việc tính hoa hồng</w:t>
            </w:r>
          </w:p>
        </w:tc>
      </w:tr>
      <w:tr>
        <w:tc>
          <w:tcPr>
            <w:tcW w:type="dxa" w:w="3135"/>
          </w:tcPr>
          <w:p>
            <w:r>
              <w:t>Quản lý phòng sales</w:t>
            </w:r>
          </w:p>
        </w:tc>
        <w:tc>
          <w:tcPr>
            <w:tcW w:type="dxa" w:w="3135"/>
          </w:tcPr>
          <w:p>
            <w:r>
              <w:t>Giám sát hiệu suất bán hàng</w:t>
            </w:r>
          </w:p>
        </w:tc>
        <w:tc>
          <w:tcPr>
            <w:tcW w:type="dxa" w:w="3135"/>
          </w:tcPr>
          <w:p>
            <w:r>
              <w:t>Đưa ra kế hoạch và hỗ trợ nhân viên</w:t>
            </w:r>
          </w:p>
        </w:tc>
      </w:tr>
      <w:tr>
        <w:tc>
          <w:tcPr>
            <w:tcW w:type="dxa" w:w="3135"/>
          </w:tcPr>
          <w:p>
            <w:r>
              <w:t>Ban giám đốc</w:t>
            </w:r>
          </w:p>
        </w:tc>
        <w:tc>
          <w:tcPr>
            <w:tcW w:type="dxa" w:w="3135"/>
          </w:tcPr>
          <w:p>
            <w:r>
              <w:t>Đưa ra chính sách hoa hồng</w:t>
            </w:r>
          </w:p>
        </w:tc>
        <w:tc>
          <w:tcPr>
            <w:tcW w:type="dxa" w:w="3135"/>
          </w:tcPr>
          <w:p>
            <w:r>
              <w:t>Theo dõi và đánh giá hiệu suất kinh doanh</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Không đạt target liên tiếp 3 tháng</w:t>
            </w:r>
          </w:p>
        </w:tc>
        <w:tc>
          <w:tcPr>
            <w:tcW w:type="dxa" w:w="2351"/>
          </w:tcPr>
          <w:p>
            <w:r>
              <w:t>3 lần</w:t>
            </w:r>
          </w:p>
        </w:tc>
        <w:tc>
          <w:tcPr>
            <w:tcW w:type="dxa" w:w="2351"/>
          </w:tcPr>
          <w:p>
            <w:r>
              <w:t>Cảnh cáo</w:t>
            </w:r>
          </w:p>
        </w:tc>
        <w:tc>
          <w:tcPr>
            <w:tcW w:type="dxa" w:w="2351"/>
          </w:tcPr>
          <w:p>
            <w:r>
              <w:t>2.000.000</w:t>
            </w:r>
          </w:p>
        </w:tc>
      </w:tr>
      <w:tr>
        <w:tc>
          <w:tcPr>
            <w:tcW w:type="dxa" w:w="2351"/>
          </w:tcPr>
          <w:p>
            <w:r>
              <w:t>Gian lận trong báo cáo doanh thu</w:t>
            </w:r>
          </w:p>
        </w:tc>
        <w:tc>
          <w:tcPr>
            <w:tcW w:type="dxa" w:w="2351"/>
          </w:tcPr>
          <w:p>
            <w:r>
              <w:t>1 lần</w:t>
            </w:r>
          </w:p>
        </w:tc>
        <w:tc>
          <w:tcPr>
            <w:tcW w:type="dxa" w:w="2351"/>
          </w:tcPr>
          <w:p>
            <w:r>
              <w:t>Sa thải</w:t>
            </w:r>
          </w:p>
        </w:tc>
        <w:tc>
          <w:tcPr>
            <w:tcW w:type="dxa" w:w="2351"/>
          </w:tcPr>
          <w:p>
            <w:r>
              <w:t>10.000.000</w:t>
            </w:r>
          </w:p>
        </w:tc>
      </w:tr>
      <w:tr>
        <w:tc>
          <w:tcPr>
            <w:tcW w:type="dxa" w:w="2351"/>
          </w:tcPr>
          <w:p>
            <w:r>
              <w:t>Chậm báo cáo doanh thu</w:t>
            </w:r>
          </w:p>
        </w:tc>
        <w:tc>
          <w:tcPr>
            <w:tcW w:type="dxa" w:w="2351"/>
          </w:tcPr>
          <w:p>
            <w:r>
              <w:t>2 lần</w:t>
            </w:r>
          </w:p>
        </w:tc>
        <w:tc>
          <w:tcPr>
            <w:tcW w:type="dxa" w:w="2351"/>
          </w:tcPr>
          <w:p>
            <w:r>
              <w:t>Cảnh cáo</w:t>
            </w:r>
          </w:p>
        </w:tc>
        <w:tc>
          <w:tcPr>
            <w:tcW w:type="dxa" w:w="2351"/>
          </w:tcPr>
          <w:p>
            <w:r>
              <w:t>1.000.000</w:t>
            </w:r>
          </w:p>
        </w:tc>
      </w:tr>
      <w:tr>
        <w:tc>
          <w:tcPr>
            <w:tcW w:type="dxa" w:w="2351"/>
          </w:tcPr>
          <w:p>
            <w:r>
              <w:t>Vi phạm quy định hoa hồng</w:t>
            </w:r>
          </w:p>
        </w:tc>
        <w:tc>
          <w:tcPr>
            <w:tcW w:type="dxa" w:w="2351"/>
          </w:tcPr>
          <w:p>
            <w:r>
              <w:t>3 lần</w:t>
            </w:r>
          </w:p>
        </w:tc>
        <w:tc>
          <w:tcPr>
            <w:tcW w:type="dxa" w:w="2351"/>
          </w:tcPr>
          <w:p>
            <w:r>
              <w:t>Cảnh cáo</w:t>
            </w:r>
          </w:p>
        </w:tc>
        <w:tc>
          <w:tcPr>
            <w:tcW w:type="dxa" w:w="2351"/>
          </w:tcPr>
          <w:p>
            <w:r>
              <w:t>2.000.000</w:t>
            </w:r>
          </w:p>
        </w:tc>
      </w:tr>
    </w:tbl>
    <w:p/>
    <w:p>
      <w:pPr>
        <w:pStyle w:val="Heading1"/>
        <w:spacing w:before="280" w:after="120"/>
      </w:pPr>
      <w:r>
        <w:t>VI. ĐIỀU KHOẢN THI HÀNH</w:t>
      </w:r>
    </w:p>
    <w:p>
      <w:pPr>
        <w:spacing w:after="120"/>
      </w:pPr>
      <w:r>
        <w:t>Quy chế này có hiệu lực từ ngày 01 tháng 07 năm 2026. Tất cả các văn bản quy định trước đây liên quan đến việc tính và chi trả hoa hồng cho nhân viên sales sẽ được bãi bỏ. Trách nhiệm phổ biến quy chế này thuộc về bộ phận nhân sự và quản lý phòng sales. Mọi thay đổi và cập nhật về quy chế sẽ được thực hiện theo quy định của công ty và thông báo kịp thời đến các nhân viên liên quan.</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