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CÔNG TY TNHH CÔNG NGHỆ VSF</w:t>
      </w:r>
    </w:p>
    <w:p>
      <w:pPr>
        <w:jc w:val="center"/>
      </w:pPr>
      <w:r>
        <w:rPr>
          <w:sz w:val="22"/>
        </w:rPr>
        <w:t>Số: VSF/61_QT_QUAN_LY_DATA_K</w:t>
      </w:r>
    </w:p>
    <w:p/>
    <w:p>
      <w:pPr>
        <w:jc w:val="center"/>
      </w:pPr>
      <w:r>
        <w:rPr>
          <w:b/>
          <w:sz w:val="28"/>
        </w:rPr>
        <w:t>QUY TRÌNH QUẢN LÝ, BẢO MẬT VÀ TIẾP CẬN DATA KHÁCH HÀNG</w:t>
      </w:r>
    </w:p>
    <w:p/>
    <w:p>
      <w:pPr>
        <w:pStyle w:val="Heading1"/>
        <w:spacing w:before="280" w:after="120"/>
      </w:pPr>
      <w:r>
        <w:t>I. PHẠM VI VÀ ĐỐI TƯỢNG ÁP DỤNG</w:t>
      </w:r>
    </w:p>
    <w:p>
      <w:pPr>
        <w:spacing w:after="120"/>
      </w:pPr>
      <w:r>
        <w:t>Quy trình này áp dụng cho toàn bộ nhân viên của Công ty TNHH Công nghệ VSF trong thời gian hoạt động của công ty, bao gồm tất cả các phòng ban liên quan đến việc quản lý, xử lý và lưu trữ dữ liệu khách hàng. Đối tượng áp dụng bao gồm nhưng không giới hạn ở các nhân viên kinh doanh, bộ phận chăm sóc khách hàng, phòng IT và các cá nhân khác có nhiệm vụ liên quan đến việc quản lý dữ liệu khách hàng. Quy trình này cũng áp dụng cho các đối tác bên ngoài, nếu họ được ủy quyền truy cập vào hệ thống dữ liệu của công ty. Các đối tượng ngoại lệ bao gồm các nhân viên đang trong thời gian tập sự hoặc nhân viên tạm thời, những người không có quyền truy cập vào dữ liệu khách hàng cho đến khi được cấp phép chính thức. Mọi người trong công ty đều phải tuân thủ quy định này để đảm bảo an toàn và bảo mật thông tin khách hàng.</w:t>
      </w:r>
    </w:p>
    <w:p>
      <w:pPr>
        <w:pStyle w:val="Heading1"/>
        <w:spacing w:before="280" w:after="120"/>
      </w:pPr>
      <w:r>
        <w:t>II. ĐỊNH NGHĨA VÀ GIẢI THÍCH THUẬT NGỮ</w:t>
      </w:r>
    </w:p>
    <w:p>
      <w:pPr>
        <w:pStyle w:val="ListNumber"/>
        <w:spacing w:after="60"/>
      </w:pPr>
      <w:r>
        <w:t>1. Dữ liệu khách hàng: Là tất cả thông tin liên quan đến khách hàng mà công ty thu thập và lưu trữ, bao gồm tên, số điện thoại, địa chỉ, email, lịch sử mua hàng và các hợp đồng đã ký kết.</w:t>
      </w:r>
    </w:p>
    <w:p>
      <w:pPr>
        <w:pStyle w:val="ListNumber"/>
        <w:spacing w:after="60"/>
      </w:pPr>
      <w:r>
        <w:t>2. CRM (Customer Relationship Management): Là hệ thống quản lý mối quan hệ khách hàng, giúp công ty lưu trữ, quản lý và phân tích thông tin khách hàng một cách hiệu quả.</w:t>
      </w:r>
    </w:p>
    <w:p>
      <w:pPr>
        <w:pStyle w:val="ListNumber"/>
        <w:spacing w:after="60"/>
      </w:pPr>
      <w:r>
        <w:t>3. Bảo mật dữ liệu: Là các biện pháp và quy trình nhằm bảo vệ dữ liệu khỏi sự truy cập trái phép, mất mát hoặc hư hỏng, đảm bảo thông tin khách hàng được an toàn.</w:t>
      </w:r>
    </w:p>
    <w:p>
      <w:pPr>
        <w:pStyle w:val="ListNumber"/>
        <w:spacing w:after="60"/>
      </w:pPr>
      <w:r>
        <w:t>4. Quyền truy cập: Là quyền mà cá nhân hoặc bộ phận trong công ty được cấp phép để truy cập và sử dụng dữ liệu khách hàng theo quy định của công ty.</w:t>
      </w:r>
    </w:p>
    <w:p>
      <w:pPr>
        <w:pStyle w:val="ListNumber"/>
        <w:spacing w:after="60"/>
      </w:pPr>
      <w:r>
        <w:t>5. Xóa dữ liệu: Là quá trình loại bỏ hoàn toàn thông tin khách hàng ra khỏi hệ thống và không thể khôi phục lại, theo yêu cầu của khách hàng hoặc theo quy định của pháp luật.</w:t>
      </w:r>
    </w:p>
    <w:p>
      <w:pPr>
        <w:pStyle w:val="ListNumber"/>
        <w:spacing w:after="60"/>
      </w:pPr>
      <w:r>
        <w:t>6. Log truy cập: Là ghi chép chi tiết về các hoạt động truy cập vào hệ thống dữ liệu, bao gồm thời gian, người truy cập và loại dữ liệu đã truy cập.</w:t>
      </w:r>
    </w:p>
    <w:p>
      <w:pPr>
        <w:pStyle w:val="Heading1"/>
        <w:spacing w:before="280" w:after="120"/>
      </w:pPr>
      <w:r>
        <w:t>III. NỘI DUNG QUY ĐỊNH / QUY TRÌNH CHI TIẾT</w:t>
      </w:r>
    </w:p>
    <w:p>
      <w:pPr>
        <w:pStyle w:val="Heading2"/>
        <w:spacing w:before="200" w:after="80"/>
      </w:pPr>
      <w:r>
        <w:t>3.1. Phân loại dữ liệu khách hàng</w:t>
      </w:r>
    </w:p>
    <w:p>
      <w:pPr>
        <w:pStyle w:val="ListBullet"/>
        <w:spacing w:after="60"/>
      </w:pPr>
      <w:r>
        <w:t>Dữ liệu cơ bản: Bao gồm tên, số điện thoại, địa chỉ, email.</w:t>
      </w:r>
    </w:p>
    <w:p>
      <w:pPr>
        <w:pStyle w:val="ListBullet"/>
        <w:spacing w:after="60"/>
      </w:pPr>
      <w:r>
        <w:t>Dữ liệu lịch sử mua hàng: Ghi nhận các giao dịch, sản phẩm đã mua và thời gian mua hàng.</w:t>
      </w:r>
    </w:p>
    <w:p>
      <w:pPr>
        <w:pStyle w:val="ListBullet"/>
        <w:spacing w:after="60"/>
      </w:pPr>
      <w:r>
        <w:t>Dữ liệu hợp đồng: Bao gồm các thông tin liên quan đến hợp đồng đã ký, điều khoản và điều kiện.</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LOẠI DỮ LIỆU</w:t>
            </w:r>
          </w:p>
        </w:tc>
        <w:tc>
          <w:tcPr>
            <w:tcW w:type="dxa" w:w="3135"/>
          </w:tcPr>
          <w:p>
            <w:r>
              <w:rPr>
                <w:b/>
              </w:rPr>
              <w:t>MÔ TẢ</w:t>
            </w:r>
          </w:p>
        </w:tc>
        <w:tc>
          <w:tcPr>
            <w:tcW w:type="dxa" w:w="3135"/>
          </w:tcPr>
          <w:p>
            <w:r>
              <w:rPr>
                <w:b/>
              </w:rPr>
              <w:t>QUYỀN TRUY CẬP</w:t>
            </w:r>
          </w:p>
        </w:tc>
      </w:tr>
      <w:tr>
        <w:tc>
          <w:tcPr>
            <w:tcW w:type="dxa" w:w="3135"/>
          </w:tcPr>
          <w:p>
            <w:r>
              <w:t>Dữ liệu cơ bản</w:t>
            </w:r>
          </w:p>
        </w:tc>
        <w:tc>
          <w:tcPr>
            <w:tcW w:type="dxa" w:w="3135"/>
          </w:tcPr>
          <w:p>
            <w:r>
              <w:t>Thông tin cá nhân của khách hàng</w:t>
            </w:r>
          </w:p>
        </w:tc>
        <w:tc>
          <w:tcPr>
            <w:tcW w:type="dxa" w:w="3135"/>
          </w:tcPr>
          <w:p>
            <w:r>
              <w:t>Nhân viên kinh doanh, chăm sóc khách hàng</w:t>
            </w:r>
          </w:p>
        </w:tc>
      </w:tr>
      <w:tr>
        <w:tc>
          <w:tcPr>
            <w:tcW w:type="dxa" w:w="3135"/>
          </w:tcPr>
          <w:p>
            <w:r>
              <w:t>Dữ liệu lịch sử mua hàng</w:t>
            </w:r>
          </w:p>
        </w:tc>
        <w:tc>
          <w:tcPr>
            <w:tcW w:type="dxa" w:w="3135"/>
          </w:tcPr>
          <w:p>
            <w:r>
              <w:t>Thông tin về các giao dịch đã thực hiện</w:t>
            </w:r>
          </w:p>
        </w:tc>
        <w:tc>
          <w:tcPr>
            <w:tcW w:type="dxa" w:w="3135"/>
          </w:tcPr>
          <w:p>
            <w:r>
              <w:t>Nhân viên kinh doanh, phòng kế toán</w:t>
            </w:r>
          </w:p>
        </w:tc>
      </w:tr>
      <w:tr>
        <w:tc>
          <w:tcPr>
            <w:tcW w:type="dxa" w:w="3135"/>
          </w:tcPr>
          <w:p>
            <w:r>
              <w:t>Dữ liệu hợp đồng</w:t>
            </w:r>
          </w:p>
        </w:tc>
        <w:tc>
          <w:tcPr>
            <w:tcW w:type="dxa" w:w="3135"/>
          </w:tcPr>
          <w:p>
            <w:r>
              <w:t>Thông tin về các hợp đồng đã ký kết</w:t>
            </w:r>
          </w:p>
        </w:tc>
        <w:tc>
          <w:tcPr>
            <w:tcW w:type="dxa" w:w="3135"/>
          </w:tcPr>
          <w:p>
            <w:r>
              <w:t>Nhân viên kinh doanh, phòng pháp lý</w:t>
            </w:r>
          </w:p>
        </w:tc>
      </w:tr>
    </w:tbl>
    <w:p/>
    <w:p>
      <w:pPr>
        <w:pStyle w:val="Heading2"/>
        <w:spacing w:before="200" w:after="80"/>
      </w:pPr>
      <w:r>
        <w:t>3.2. Quy định truy cập dữ liệu</w:t>
      </w:r>
    </w:p>
    <w:p>
      <w:pPr>
        <w:pStyle w:val="ListBullet"/>
        <w:spacing w:after="60"/>
      </w:pPr>
      <w:r>
        <w:t>Chỉ những nhân viên có trách nhiệm mới được cấp quyền truy cập vào các loại dữ liệu khác nhau.</w:t>
      </w:r>
    </w:p>
    <w:p>
      <w:pPr>
        <w:pStyle w:val="ListBullet"/>
        <w:spacing w:after="60"/>
      </w:pPr>
      <w:r>
        <w:t>Mọi quyền truy cập đều phải được ghi lại và được phê duyệt bởi quản lý trực tiếp.</w:t>
      </w:r>
    </w:p>
    <w:p>
      <w:pPr>
        <w:pStyle w:val="ListBullet"/>
        <w:spacing w:after="60"/>
      </w:pPr>
      <w:r>
        <w:t>Nhân viên không được tiết lộ thông tin khách hàng cho bên thứ ba mà không có sự đồng ý của khách hàng.</w:t>
      </w:r>
    </w:p>
    <w:p>
      <w:pPr>
        <w:pStyle w:val="Heading2"/>
        <w:spacing w:before="200" w:after="80"/>
      </w:pPr>
      <w:r>
        <w:t>3.3. Quy trình lưu trữ dữ liệu</w:t>
      </w:r>
    </w:p>
    <w:p>
      <w:pPr>
        <w:pStyle w:val="ListBullet"/>
        <w:spacing w:after="60"/>
      </w:pPr>
      <w:r>
        <w:t>Tất cả dữ liệu khách hàng phải được lưu trữ trên hệ thống CRM của công ty.</w:t>
      </w:r>
    </w:p>
    <w:p>
      <w:pPr>
        <w:pStyle w:val="ListBullet"/>
        <w:spacing w:after="60"/>
      </w:pPr>
      <w:r>
        <w:t>Dữ liệu không được lưu trữ trên thiết bị cá nhân như USB, điện thoại di động hoặc máy tính cá nhân.</w:t>
      </w:r>
    </w:p>
    <w:p>
      <w:pPr>
        <w:pStyle w:val="ListBullet"/>
        <w:spacing w:after="60"/>
      </w:pPr>
      <w:r>
        <w:t>Định kỳ, dữ liệu sẽ được kiểm tra và sao lưu để đảm bảo tính toàn vẹn và an toàn.</w:t>
      </w:r>
    </w:p>
    <w:p>
      <w:pPr>
        <w:pStyle w:val="Heading2"/>
        <w:spacing w:before="200" w:after="80"/>
      </w:pPr>
      <w:r>
        <w:t>3.4. Quy trình xử lý yêu cầu xóa dữ liệu</w:t>
      </w:r>
    </w:p>
    <w:p>
      <w:pPr>
        <w:pStyle w:val="ListBullet"/>
        <w:spacing w:after="60"/>
      </w:pPr>
      <w:r>
        <w:t>Khi khách hàng yêu cầu xóa dữ liệu, nhân viên phải ghi nhận yêu cầu và chuyển đến bộ phận phụ trách trong vòng 24 giờ.</w:t>
      </w:r>
    </w:p>
    <w:p>
      <w:pPr>
        <w:pStyle w:val="ListBullet"/>
        <w:spacing w:after="60"/>
      </w:pPr>
      <w:r>
        <w:t>Bộ phận phụ trách sẽ xác minh yêu cầu và thực hiện xóa dữ liệu trong vòng 5 ngày làm việc.</w:t>
      </w:r>
    </w:p>
    <w:p>
      <w:pPr>
        <w:pStyle w:val="ListBullet"/>
        <w:spacing w:after="60"/>
      </w:pPr>
      <w:r>
        <w:t>Sau khi xóa dữ liệu, nhân viên sẽ ghi lại log truy cập để lưu trữ thông tin về yêu cầu.</w:t>
      </w:r>
    </w:p>
    <w:p>
      <w:pPr>
        <w:pStyle w:val="Heading2"/>
        <w:spacing w:before="200" w:after="80"/>
      </w:pPr>
      <w:r>
        <w:t>3.5. Quản lý log truy cập</w:t>
      </w:r>
    </w:p>
    <w:p>
      <w:pPr>
        <w:pStyle w:val="ListBullet"/>
        <w:spacing w:after="60"/>
      </w:pPr>
      <w:r>
        <w:t>Tất cả hoạt động truy cập dữ liệu khách hàng phải được ghi lại trong hệ thống log.</w:t>
      </w:r>
    </w:p>
    <w:p>
      <w:pPr>
        <w:pStyle w:val="ListBullet"/>
        <w:spacing w:after="60"/>
      </w:pPr>
      <w:r>
        <w:t>Log truy cập sẽ được lưu giữ ít nhất 12 tháng để phục vụ cho việc kiểm tra và đánh giá.</w:t>
      </w:r>
    </w:p>
    <w:p>
      <w:pPr>
        <w:pStyle w:val="ListBullet"/>
        <w:spacing w:after="60"/>
      </w:pPr>
      <w:r>
        <w:t>Nhân viên phải có trách nhiệm kiểm tra log để phát hiện và báo cáo các hoạt động bất thường.</w:t>
      </w:r>
    </w:p>
    <w:p>
      <w:pPr>
        <w:pStyle w:val="Heading1"/>
        <w:spacing w:before="280" w:after="120"/>
      </w:pPr>
      <w:r>
        <w:t>IV. TRÁCH NHIỆM CỦA CÁC BỘ PHẬN VÀ CÁ NHÂN</w:t>
      </w:r>
    </w:p>
    <w:tbl>
      <w:tblPr>
        <w:tblStyle w:val="TableGrid"/>
        <w:tblW w:type="auto" w:w="0"/>
        <w:tblLook w:firstColumn="1" w:firstRow="1" w:lastColumn="0" w:lastRow="0" w:noHBand="0" w:noVBand="1" w:val="04A0"/>
      </w:tblPr>
      <w:tblGrid>
        <w:gridCol w:w="4702"/>
        <w:gridCol w:w="4702"/>
      </w:tblGrid>
      <w:tr>
        <w:tc>
          <w:tcPr>
            <w:tcW w:type="dxa" w:w="4702"/>
          </w:tcPr>
          <w:p>
            <w:r>
              <w:rPr>
                <w:b/>
              </w:rPr>
              <w:t>BỘ PHẬN</w:t>
            </w:r>
          </w:p>
        </w:tc>
        <w:tc>
          <w:tcPr>
            <w:tcW w:type="dxa" w:w="4702"/>
          </w:tcPr>
          <w:p>
            <w:r>
              <w:rPr>
                <w:b/>
              </w:rPr>
              <w:t>TRÁCH NHIỆM</w:t>
            </w:r>
          </w:p>
        </w:tc>
      </w:tr>
      <w:tr>
        <w:tc>
          <w:tcPr>
            <w:tcW w:type="dxa" w:w="4702"/>
          </w:tcPr>
          <w:p>
            <w:r>
              <w:t>Bộ phận Kinh doanh</w:t>
            </w:r>
          </w:p>
        </w:tc>
        <w:tc>
          <w:tcPr>
            <w:tcW w:type="dxa" w:w="4702"/>
          </w:tcPr>
          <w:p>
            <w:r>
              <w:t>1. Thu thập và cập nhật dữ liệu khách hàng 2. Đảm bảo dữ liệu chính xác và đầy đủ 3. Đảm bảo bảo mật thông tin khách hàng</w:t>
            </w:r>
          </w:p>
        </w:tc>
      </w:tr>
      <w:tr>
        <w:tc>
          <w:tcPr>
            <w:tcW w:type="dxa" w:w="4702"/>
          </w:tcPr>
          <w:p>
            <w:r>
              <w:t>Bộ phận Chăm sóc Khách hàng</w:t>
            </w:r>
          </w:p>
        </w:tc>
        <w:tc>
          <w:tcPr>
            <w:tcW w:type="dxa" w:w="4702"/>
          </w:tcPr>
          <w:p>
            <w:r>
              <w:t>1. Tiếp nhận và xử lý yêu cầu từ khách hàng 2. Quản lý lịch sử giao dịch của khách hàng 3. Đảm bảo thông tin khách hàng không bị lộ ra ngoài</w:t>
            </w:r>
          </w:p>
        </w:tc>
      </w:tr>
      <w:tr>
        <w:tc>
          <w:tcPr>
            <w:tcW w:type="dxa" w:w="4702"/>
          </w:tcPr>
          <w:p>
            <w:r>
              <w:t>Bộ phận IT</w:t>
            </w:r>
          </w:p>
        </w:tc>
        <w:tc>
          <w:tcPr>
            <w:tcW w:type="dxa" w:w="4702"/>
          </w:tcPr>
          <w:p>
            <w:r>
              <w:t>1. Quản lý hệ thống CRM và bảo mật dữ liệu 2. Kiểm tra, bảo trì và sao lưu dữ liệu định kỳ 3. Đào tạo nhân viên về quy trình bảo mật dữ liệu</w:t>
            </w:r>
          </w:p>
        </w:tc>
      </w:tr>
      <w:tr>
        <w:tc>
          <w:tcPr>
            <w:tcW w:type="dxa" w:w="4702"/>
          </w:tcPr>
          <w:p>
            <w:r>
              <w:t>Bộ phận Pháp lý</w:t>
            </w:r>
          </w:p>
        </w:tc>
        <w:tc>
          <w:tcPr>
            <w:tcW w:type="dxa" w:w="4702"/>
          </w:tcPr>
          <w:p>
            <w:r>
              <w:t>1. Đảm bảo tuân thủ quy định pháp luật về bảo mật dữ liệu 2. Tư vấn về các yêu cầu xóa dữ liệu khách hàng 3. Giải quyết các vấn đề liên quan đến pháp lý khi có vi phạm</w:t>
            </w:r>
          </w:p>
        </w:tc>
      </w:tr>
    </w:tbl>
    <w:p/>
    <w:p>
      <w:pPr>
        <w:pStyle w:val="Heading1"/>
        <w:spacing w:before="280" w:after="120"/>
      </w:pPr>
      <w:r>
        <w:t>V. CHẾ TÀI XỬ LÝ VI PHẠM</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HÀNH VI VI PHẠM</w:t>
            </w:r>
          </w:p>
        </w:tc>
        <w:tc>
          <w:tcPr>
            <w:tcW w:type="dxa" w:w="2351"/>
          </w:tcPr>
          <w:p>
            <w:r>
              <w:rPr>
                <w:b/>
              </w:rPr>
              <w:t>SỐ LẦN VI PHẠM</w:t>
            </w:r>
          </w:p>
        </w:tc>
        <w:tc>
          <w:tcPr>
            <w:tcW w:type="dxa" w:w="2351"/>
          </w:tcPr>
          <w:p>
            <w:r>
              <w:rPr>
                <w:b/>
              </w:rPr>
              <w:t>HÌNH THỨC XỬ LÝ</w:t>
            </w:r>
          </w:p>
        </w:tc>
        <w:tc>
          <w:tcPr>
            <w:tcW w:type="dxa" w:w="2351"/>
          </w:tcPr>
          <w:p>
            <w:r>
              <w:rPr>
                <w:b/>
              </w:rPr>
              <w:t>MỨC TIỀN PHẠT (VNĐ)</w:t>
            </w:r>
          </w:p>
        </w:tc>
      </w:tr>
      <w:tr>
        <w:tc>
          <w:tcPr>
            <w:tcW w:type="dxa" w:w="2351"/>
          </w:tcPr>
          <w:p>
            <w:r>
              <w:t>Truy cập trái phép vào dữ liệu khách hàng</w:t>
            </w:r>
          </w:p>
        </w:tc>
        <w:tc>
          <w:tcPr>
            <w:tcW w:type="dxa" w:w="2351"/>
          </w:tcPr>
          <w:p>
            <w:r>
              <w:t>1 lần</w:t>
            </w:r>
          </w:p>
        </w:tc>
        <w:tc>
          <w:tcPr>
            <w:tcW w:type="dxa" w:w="2351"/>
          </w:tcPr>
          <w:p>
            <w:r>
              <w:t>Cảnh cáo</w:t>
            </w:r>
          </w:p>
        </w:tc>
        <w:tc>
          <w:tcPr>
            <w:tcW w:type="dxa" w:w="2351"/>
          </w:tcPr>
          <w:p>
            <w:r>
              <w:t>500.000</w:t>
            </w:r>
          </w:p>
        </w:tc>
      </w:tr>
      <w:tr>
        <w:tc>
          <w:tcPr>
            <w:tcW w:type="dxa" w:w="2351"/>
          </w:tcPr>
          <w:p>
            <w:r>
              <w:t>Sao chép dữ liệu khách hàng ra thiết bị cá nhân</w:t>
            </w:r>
          </w:p>
        </w:tc>
        <w:tc>
          <w:tcPr>
            <w:tcW w:type="dxa" w:w="2351"/>
          </w:tcPr>
          <w:p>
            <w:r>
              <w:t>1 lần</w:t>
            </w:r>
          </w:p>
        </w:tc>
        <w:tc>
          <w:tcPr>
            <w:tcW w:type="dxa" w:w="2351"/>
          </w:tcPr>
          <w:p>
            <w:r>
              <w:t>Khiển trách</w:t>
            </w:r>
          </w:p>
        </w:tc>
        <w:tc>
          <w:tcPr>
            <w:tcW w:type="dxa" w:w="2351"/>
          </w:tcPr>
          <w:p>
            <w:r>
              <w:t>1.000.000</w:t>
            </w:r>
          </w:p>
        </w:tc>
      </w:tr>
      <w:tr>
        <w:tc>
          <w:tcPr>
            <w:tcW w:type="dxa" w:w="2351"/>
          </w:tcPr>
          <w:p>
            <w:r>
              <w:t>Không ghi log truy cập</w:t>
            </w:r>
          </w:p>
        </w:tc>
        <w:tc>
          <w:tcPr>
            <w:tcW w:type="dxa" w:w="2351"/>
          </w:tcPr>
          <w:p>
            <w:r>
              <w:t>1 lần</w:t>
            </w:r>
          </w:p>
        </w:tc>
        <w:tc>
          <w:tcPr>
            <w:tcW w:type="dxa" w:w="2351"/>
          </w:tcPr>
          <w:p>
            <w:r>
              <w:t>Cảnh cáo</w:t>
            </w:r>
          </w:p>
        </w:tc>
        <w:tc>
          <w:tcPr>
            <w:tcW w:type="dxa" w:w="2351"/>
          </w:tcPr>
          <w:p>
            <w:r>
              <w:t>300.000</w:t>
            </w:r>
          </w:p>
        </w:tc>
      </w:tr>
      <w:tr>
        <w:tc>
          <w:tcPr>
            <w:tcW w:type="dxa" w:w="2351"/>
          </w:tcPr>
          <w:p>
            <w:r>
              <w:t>Không xử lý yêu cầu xóa dữ liệu</w:t>
            </w:r>
          </w:p>
        </w:tc>
        <w:tc>
          <w:tcPr>
            <w:tcW w:type="dxa" w:w="2351"/>
          </w:tcPr>
          <w:p>
            <w:r>
              <w:t>1 lần</w:t>
            </w:r>
          </w:p>
        </w:tc>
        <w:tc>
          <w:tcPr>
            <w:tcW w:type="dxa" w:w="2351"/>
          </w:tcPr>
          <w:p>
            <w:r>
              <w:t>Kỷ luật</w:t>
            </w:r>
          </w:p>
        </w:tc>
        <w:tc>
          <w:tcPr>
            <w:tcW w:type="dxa" w:w="2351"/>
          </w:tcPr>
          <w:p>
            <w:r>
              <w:t>2.000.000</w:t>
            </w:r>
          </w:p>
        </w:tc>
      </w:tr>
    </w:tbl>
    <w:p/>
    <w:p>
      <w:pPr>
        <w:pStyle w:val="Heading1"/>
        <w:spacing w:before="280" w:after="120"/>
      </w:pPr>
      <w:r>
        <w:t>VI. ĐIỀU KHOẢN THI HÀNH</w:t>
      </w:r>
    </w:p>
    <w:p>
      <w:pPr>
        <w:spacing w:after="120"/>
      </w:pPr>
      <w:r>
        <w:t>Quy trình này có hiệu lực từ ngày 01/07/2026 và sẽ thay thế mọi quy định trước đó liên quan đến quản lý và bảo mật dữ liệu khách hàng. Tất cả nhân viên trong công ty có trách nhiệm phổ biến và thực hiện quy trình này. Mọi yêu cầu điều chỉnh hoặc sửa đổi quy trình sẽ phải được trình bày và phê duyệt bởi Ban Giám Đốc công ty.</w:t>
      </w:r>
    </w:p>
    <w:p>
      <w:pPr>
        <w:spacing w:after="120"/>
      </w:pPr>
      <w:r>
        <w:t>TP. Ho Chi Minh, ngày 01 tháng 07 năm 2026</w:t>
      </w:r>
    </w:p>
    <w:p>
      <w:pPr>
        <w:pStyle w:val="Heading1"/>
        <w:spacing w:before="280" w:after="120"/>
      </w:pPr>
      <w:r>
        <w:t>GIÁM ĐỐC ĐIỀU HÀNH</w:t>
      </w:r>
    </w:p>
    <w:p>
      <w:pPr>
        <w:spacing w:after="120"/>
      </w:pPr>
      <w:r>
        <w:t>Nguyễn Minh Thanh</w:t>
      </w:r>
    </w:p>
    <w:p/>
    <w:p>
      <w:pPr>
        <w:jc w:val="right"/>
      </w:pPr>
      <w:r>
        <w:rPr>
          <w:i/>
        </w:rPr>
        <w:t>TP. Hồ Chí Minh, ngày 01 tháng 07 năm 2026</w:t>
      </w:r>
    </w:p>
    <w:p>
      <w:pPr>
        <w:jc w:val="right"/>
      </w:pPr>
      <w:r>
        <w:rPr>
          <w:b/>
        </w:rPr>
        <w:t>GIÁM ĐỐC ĐIỀU HÀNH</w:t>
      </w:r>
    </w:p>
    <w:p/>
    <w:p/>
    <w:p/>
    <w:p>
      <w:pPr>
        <w:jc w:val="right"/>
      </w:pPr>
      <w:r>
        <w:rPr>
          <w:b/>
        </w:rPr>
        <w:t>Nguyễn Minh Thành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