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VSF/62_QD_PHAT_NGON_MXH_</w:t>
      </w:r>
    </w:p>
    <w:p/>
    <w:p>
      <w:pPr>
        <w:jc w:val="center"/>
      </w:pPr>
      <w:r>
        <w:rPr>
          <w:b/>
          <w:sz w:val="28"/>
        </w:rPr>
        <w:t>QUY ĐỊNH PHÁT NGÔN TRÊN MẠNG XÃ HỘI VÀ BẢO VỆ THƯƠNG HIỆU</w:t>
      </w:r>
    </w:p>
    <w:p/>
    <w:p>
      <w:pPr>
        <w:pStyle w:val="Heading1"/>
        <w:spacing w:before="280" w:after="120"/>
      </w:pPr>
      <w:r>
        <w:t>I. PHẠM VI VÀ ĐỐI TƯỢNG ÁP DỤNG</w:t>
      </w:r>
    </w:p>
    <w:p>
      <w:pPr>
        <w:spacing w:after="120"/>
      </w:pPr>
      <w:r>
        <w:t>Quy định này áp dụng cho toàn bộ nhân viên, cán bộ, quản lý và các đối tượng liên quan đến Công ty TNHH Công nghệ VSF (sau đây gọi là "Công ty"). Phạm vi áp dụng bao gồm các hoạt động phát ngôn, đăng tải, bình luận liên quan đến Công ty trên các nền tảng mạng xã hội như Facebook, Twitter, LinkedIn, Instagram, và các nền tảng mạng xã hội khác. Thời gian áp dụng quy định này là vô hạn định, bắt đầu từ ngày 01 tháng 07 năm 2026. Đối tượng ngoại lệ bao gồm các thành viên trong ban giám đốc và bộ phận truyền thông, những người có quyền phát ngôn đại diện cho Công ty theo quy định nội bộ của Công ty. Ngoài ra, nhân viên có thể phát ngôn về quan điểm cá nhân, nhưng phải ghi rõ đây là quan điểm cá nhân và không liên quan đến Công ty.</w:t>
      </w:r>
    </w:p>
    <w:p>
      <w:pPr>
        <w:pStyle w:val="Heading1"/>
        <w:spacing w:before="280" w:after="120"/>
      </w:pPr>
      <w:r>
        <w:t>II. ĐỊNH NGHĨA VÀ GIẢI THÍCH THUẬT NGỮ</w:t>
      </w:r>
    </w:p>
    <w:p>
      <w:pPr>
        <w:pStyle w:val="ListNumber"/>
        <w:spacing w:after="60"/>
      </w:pPr>
      <w:r>
        <w:t>1. Phát ngôn trên mạng xã hội: Là hành vi đăng tải, bình luận hoặc chia sẻ thông tin liên quan đến Công ty trên các nền tảng mạng xã hội. Hành vi này có thể ảnh hưởng đến hình ảnh và thương hiệu của Công ty.</w:t>
      </w:r>
    </w:p>
    <w:p>
      <w:pPr>
        <w:pStyle w:val="ListNumber"/>
        <w:spacing w:after="60"/>
      </w:pPr>
      <w:r>
        <w:t>2. Thông tin nội bộ: Là các thông tin liên quan đến hoạt động, chiến lược, sản phẩm, dịch vụ, nhân sự của Công ty chưa được công bố công khai. Việc tiết lộ thông tin này mà không có sự cho phép có thể gây thiệt hại cho Công ty.</w:t>
      </w:r>
    </w:p>
    <w:p>
      <w:pPr>
        <w:pStyle w:val="ListNumber"/>
        <w:spacing w:after="60"/>
      </w:pPr>
      <w:r>
        <w:t>3. Thương hiệu: Là tên, biểu tượng, thiết kế hoặc bất kỳ yếu tố nào khác đại diện cho Công ty trên thị trường. Bảo vệ thương hiệu là trách nhiệm của mỗi nhân viên để duy trì uy tín và hình ảnh của Công ty.</w:t>
      </w:r>
    </w:p>
    <w:p>
      <w:pPr>
        <w:pStyle w:val="ListNumber"/>
        <w:spacing w:after="60"/>
      </w:pPr>
      <w:r>
        <w:t>4. Khủng hoảng truyền thông: Là tình huống xảy ra khi thông tin tiêu cực về Công ty được công bố rộng rãi, có thể gây tổn hại đến hình ảnh và hoạt động của Công ty. Quy trình xử lý khủng hoảng truyền thông cần được thực hiện khẩn trương và hiệu quả.</w:t>
      </w:r>
    </w:p>
    <w:p>
      <w:pPr>
        <w:pStyle w:val="ListNumber"/>
        <w:spacing w:after="60"/>
      </w:pPr>
      <w:r>
        <w:t>5. Đại diện phát ngôn: Là những cá nhân được ủy quyền bởi Công ty để thực hiện phát ngôn công khai về các vấn đề liên quan đến Công ty. Chỉ những cá nhân này mới có thẩm quyền phát ngôn đại diện cho Công ty.</w:t>
      </w:r>
    </w:p>
    <w:p>
      <w:pPr>
        <w:pStyle w:val="ListNumber"/>
        <w:spacing w:after="60"/>
      </w:pPr>
      <w:r>
        <w:t>6. Xử lý vi phạm: Là các biện pháp được áp dụng đối với những nhân viên vi phạm quy định phát ngôn trên mạng xã hội, nhằm đảm bảo kỷ luật và bảo vệ thương hiệu của Công ty.</w:t>
      </w:r>
    </w:p>
    <w:p>
      <w:pPr>
        <w:pStyle w:val="Heading1"/>
        <w:spacing w:before="280" w:after="120"/>
      </w:pPr>
      <w:r>
        <w:t>III. NỘI DUNG QUY ĐỊNH / QUY TRÌNH CHI TIẾT</w:t>
      </w:r>
    </w:p>
    <w:p>
      <w:pPr>
        <w:pStyle w:val="Heading2"/>
        <w:spacing w:before="200" w:after="80"/>
      </w:pPr>
      <w:r>
        <w:t>3.1. Nguyên tắc phát ngôn trên mạng xã hội</w:t>
      </w:r>
    </w:p>
    <w:p>
      <w:pPr>
        <w:pStyle w:val="ListBullet"/>
        <w:spacing w:after="60"/>
      </w:pPr>
      <w:r>
        <w:t>Tất cả nhân viên phải ghi rõ rằng ý kiến của họ là quan điểm cá nhân và không đại diện cho Công ty.</w:t>
      </w:r>
    </w:p>
    <w:p>
      <w:pPr>
        <w:pStyle w:val="ListBullet"/>
        <w:spacing w:after="60"/>
      </w:pPr>
      <w:r>
        <w:t>Không được tiết lộ thông tin nội bộ, tài liệu mật hoặc bất kỳ thông tin nào chưa công bố công khai.</w:t>
      </w:r>
    </w:p>
    <w:p>
      <w:pPr>
        <w:pStyle w:val="ListBullet"/>
        <w:spacing w:after="60"/>
      </w:pPr>
      <w:r>
        <w:t>Không được phát ngôn tiêu cực về Công ty, đồng nghiệp, đối tác hoặc khách hàng.</w:t>
      </w:r>
    </w:p>
    <w:p>
      <w:pPr>
        <w:pStyle w:val="Heading2"/>
        <w:spacing w:before="200" w:after="80"/>
      </w:pPr>
      <w:r>
        <w:t>3.2. Nội dung bị cấm</w:t>
      </w:r>
    </w:p>
    <w:p>
      <w:pPr>
        <w:pStyle w:val="ListBullet"/>
        <w:spacing w:after="60"/>
      </w:pPr>
      <w:r>
        <w:t>Các bài viết, bình luận có nội dung xúc phạm, phỉ báng đối thủ cạnh tranh hoặc khách hàng.</w:t>
      </w:r>
    </w:p>
    <w:p>
      <w:pPr>
        <w:pStyle w:val="ListBullet"/>
        <w:spacing w:after="60"/>
      </w:pPr>
      <w:r>
        <w:t>Tiết lộ các thông tin tài chính, chiến lược kinh doanh hoặc thông tin nhạy cảm khác của Công ty.</w:t>
      </w:r>
    </w:p>
    <w:p>
      <w:pPr>
        <w:pStyle w:val="ListBullet"/>
        <w:spacing w:after="60"/>
      </w:pPr>
      <w:r>
        <w:t>Các phát ngôn có thể gây hiểu lầm hoặc gây tổn hại đến uy tín của Công ty.</w:t>
      </w:r>
    </w:p>
    <w:p>
      <w:pPr>
        <w:pStyle w:val="Heading2"/>
        <w:spacing w:before="200" w:after="80"/>
      </w:pPr>
      <w:r>
        <w:t>3.3. Quy trình xử lý khủng hoảng truyền thông</w:t>
      </w:r>
    </w:p>
    <w:p>
      <w:pPr>
        <w:pStyle w:val="ListBullet"/>
        <w:spacing w:after="60"/>
      </w:pPr>
      <w:r>
        <w:t>Khi phát hiện thông tin tiêu cực, nhân viên phải báo cáo ngay cho bộ phận truyền thông và quản lý trực tiếp.</w:t>
      </w:r>
    </w:p>
    <w:p>
      <w:pPr>
        <w:pStyle w:val="ListBullet"/>
        <w:spacing w:after="60"/>
      </w:pPr>
      <w:r>
        <w:t>Bộ phận truyền thông sẽ phối hợp với các bộ phận liên quan để xây dựng kế hoạch xử lý khủng hoảng.</w:t>
      </w:r>
    </w:p>
    <w:p>
      <w:pPr>
        <w:pStyle w:val="ListBullet"/>
        <w:spacing w:after="60"/>
      </w:pPr>
      <w:r>
        <w:t>Tổ chức họp khẩn cấp để thảo luận và đưa ra các biện pháp ứng phó kịp thời.</w:t>
      </w:r>
    </w:p>
    <w:p>
      <w:pPr>
        <w:pStyle w:val="Heading2"/>
        <w:spacing w:before="200" w:after="80"/>
      </w:pPr>
      <w:r>
        <w:t>3.4. Quy định về đại diện phát ngôn</w:t>
      </w:r>
    </w:p>
    <w:p>
      <w:pPr>
        <w:pStyle w:val="ListBullet"/>
        <w:spacing w:after="60"/>
      </w:pPr>
      <w:r>
        <w:t>Chỉ những cá nhân được chỉ định trong danh sách đại diện phát ngôn của Công ty mới có quyền phát ngôn về các vấn đề liên quan đến Công ty.</w:t>
      </w:r>
    </w:p>
    <w:p>
      <w:pPr>
        <w:pStyle w:val="ListBullet"/>
        <w:spacing w:after="60"/>
      </w:pPr>
      <w:r>
        <w:t>Các nhân viên khác cần phải tham khảo ý kiến của đại diện phát ngôn trước khi đăng tải thông tin liên quan đến Công ty.</w:t>
      </w:r>
    </w:p>
    <w:p>
      <w:pPr>
        <w:pStyle w:val="ListBullet"/>
        <w:spacing w:after="60"/>
      </w:pPr>
      <w:r>
        <w:t>Các đại diện phát ngôn phải được trang bị đầy đủ thông tin và kỹ năng cần thiết để thực hiện vai trò này.</w:t>
      </w:r>
    </w:p>
    <w:p>
      <w:pPr>
        <w:pStyle w:val="Heading2"/>
        <w:spacing w:before="200" w:after="80"/>
      </w:pPr>
      <w:r>
        <w:t>3.5. Quy trình xử lý vi phạm</w:t>
      </w:r>
    </w:p>
    <w:p>
      <w:pPr>
        <w:pStyle w:val="ListBullet"/>
        <w:spacing w:after="60"/>
      </w:pPr>
      <w:r>
        <w:t>Mọi hành vi vi phạm quy định này sẽ được ghi nhận và xử lý theo quy trình nội bộ.</w:t>
      </w:r>
    </w:p>
    <w:p>
      <w:pPr>
        <w:pStyle w:val="ListBullet"/>
        <w:spacing w:after="60"/>
      </w:pPr>
      <w:r>
        <w:t>Nhân viên vi phạm sẽ bị xem xét kỷ luật tương ứng với mức độ vi phạm.</w:t>
      </w:r>
    </w:p>
    <w:p>
      <w:pPr>
        <w:pStyle w:val="ListBullet"/>
        <w:spacing w:after="60"/>
      </w:pPr>
      <w:r>
        <w:t>Kết quả xử lý vi phạm sẽ được thông báo công khai trong nội bộ Công ty.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VI PHẠM</w:t>
            </w:r>
          </w:p>
        </w:tc>
        <w:tc>
          <w:tcPr>
            <w:tcW w:type="dxa" w:w="3135"/>
          </w:tcPr>
          <w:p>
            <w:r>
              <w:rPr>
                <w:b/>
              </w:rPr>
              <w:t>HÀNH VI VI PHẠM</w:t>
            </w:r>
          </w:p>
        </w:tc>
        <w:tc>
          <w:tcPr>
            <w:tcW w:type="dxa" w:w="3135"/>
          </w:tcPr>
          <w:p>
            <w:r>
              <w:rPr>
                <w:b/>
              </w:rPr>
              <w:t>HÌNH THỨC XỬ LÝ</w:t>
            </w:r>
          </w:p>
        </w:tc>
      </w:tr>
      <w:tr>
        <w:tc>
          <w:tcPr>
            <w:tcW w:type="dxa" w:w="3135"/>
          </w:tcPr>
          <w:p>
            <w:r>
              <w:t>Vi phạm nhẹ</w:t>
            </w:r>
          </w:p>
        </w:tc>
        <w:tc>
          <w:tcPr>
            <w:tcW w:type="dxa" w:w="3135"/>
          </w:tcPr>
          <w:p>
            <w:r>
              <w:t>Đăng tải thông tin không chính xác về Công ty</w:t>
            </w:r>
          </w:p>
        </w:tc>
        <w:tc>
          <w:tcPr>
            <w:tcW w:type="dxa" w:w="3135"/>
          </w:tcPr>
          <w:p>
            <w:r>
              <w:t>Nhắc nhở</w:t>
            </w:r>
          </w:p>
        </w:tc>
      </w:tr>
      <w:tr>
        <w:tc>
          <w:tcPr>
            <w:tcW w:type="dxa" w:w="3135"/>
          </w:tcPr>
          <w:p>
            <w:r>
              <w:t>Vi phạm trung bình</w:t>
            </w:r>
          </w:p>
        </w:tc>
        <w:tc>
          <w:tcPr>
            <w:tcW w:type="dxa" w:w="3135"/>
          </w:tcPr>
          <w:p>
            <w:r>
              <w:t>Tiết lộ thông tin nội bộ không đúng quy định</w:t>
            </w:r>
          </w:p>
        </w:tc>
        <w:tc>
          <w:tcPr>
            <w:tcW w:type="dxa" w:w="3135"/>
          </w:tcPr>
          <w:p>
            <w:r>
              <w:t>Cảnh cáo</w:t>
            </w:r>
          </w:p>
        </w:tc>
      </w:tr>
      <w:tr>
        <w:tc>
          <w:tcPr>
            <w:tcW w:type="dxa" w:w="3135"/>
          </w:tcPr>
          <w:p>
            <w:r>
              <w:t>Vi phạm nghiêm trọng</w:t>
            </w:r>
          </w:p>
        </w:tc>
        <w:tc>
          <w:tcPr>
            <w:tcW w:type="dxa" w:w="3135"/>
          </w:tcPr>
          <w:p>
            <w:r>
              <w:t>Phát ngôn tiêu cực về Công ty, đồng nghiệp</w:t>
            </w:r>
          </w:p>
        </w:tc>
        <w:tc>
          <w:tcPr>
            <w:tcW w:type="dxa" w:w="3135"/>
          </w:tcPr>
          <w:p>
            <w:r>
              <w:t>Sa thải</w:t>
            </w:r>
          </w:p>
        </w:tc>
      </w:tr>
      <w:tr>
        <w:tc>
          <w:tcPr>
            <w:tcW w:type="dxa" w:w="3135"/>
          </w:tcPr>
          <w:p>
            <w:r>
              <w:t>Vi phạm đặc biệt nghiêm trọng</w:t>
            </w:r>
          </w:p>
        </w:tc>
        <w:tc>
          <w:tcPr>
            <w:tcW w:type="dxa" w:w="3135"/>
          </w:tcPr>
          <w:p>
            <w:r>
              <w:t>Tiết lộ thông tin mật gây tổn hại nghiêm trọng</w:t>
            </w:r>
          </w:p>
        </w:tc>
        <w:tc>
          <w:tcPr>
            <w:tcW w:type="dxa" w:w="3135"/>
          </w:tcPr>
          <w:p>
            <w:r>
              <w:t>Truy cứu trách nhiệm hình sự</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BỘ PHẬN</w:t>
            </w:r>
          </w:p>
        </w:tc>
        <w:tc>
          <w:tcPr>
            <w:tcW w:type="dxa" w:w="2351"/>
          </w:tcPr>
          <w:p>
            <w:r>
              <w:rPr>
                <w:b/>
              </w:rPr>
              <w:t>TRÁCH NHIỆM</w:t>
            </w:r>
          </w:p>
        </w:tc>
        <w:tc>
          <w:tcPr>
            <w:tcW w:type="dxa" w:w="2351"/>
          </w:tcPr>
          <w:p>
            <w:r>
              <w:rPr>
                <w:b/>
              </w:rPr>
            </w:r>
          </w:p>
        </w:tc>
        <w:tc>
          <w:tcPr>
            <w:tcW w:type="dxa" w:w="2351"/>
          </w:tcPr>
          <w:p>
            <w:r>
              <w:rPr>
                <w:b/>
              </w:rPr>
            </w:r>
          </w:p>
        </w:tc>
      </w:tr>
      <w:tr>
        <w:tc>
          <w:tcPr>
            <w:tcW w:type="dxa" w:w="2351"/>
          </w:tcPr>
          <w:p>
            <w:r>
              <w:t>Bộ phận truyền thông</w:t>
            </w:r>
          </w:p>
        </w:tc>
        <w:tc>
          <w:tcPr>
            <w:tcW w:type="dxa" w:w="2351"/>
          </w:tcPr>
          <w:p>
            <w:r>
              <w:t>- Theo dõi và quản lý các hoạt động phát ngôn trên mạng xã hội của nhân viên.</w:t>
            </w:r>
          </w:p>
        </w:tc>
        <w:tc>
          <w:tcPr>
            <w:tcW w:type="dxa" w:w="2351"/>
          </w:tcPr>
          <w:p>
            <w:r>
              <w:t>- Xây dựng kế hoạch xử lý khủng hoảng truyền thông.</w:t>
            </w:r>
          </w:p>
        </w:tc>
        <w:tc>
          <w:tcPr>
            <w:tcW w:type="dxa" w:w="2351"/>
          </w:tcPr>
          <w:p>
            <w:r>
              <w:t>- Đào tạo nhân viên về quy định phát ngôn.</w:t>
            </w:r>
          </w:p>
        </w:tc>
      </w:tr>
      <w:tr>
        <w:tc>
          <w:tcPr>
            <w:tcW w:type="dxa" w:w="2351"/>
          </w:tcPr>
          <w:p>
            <w:r>
              <w:t>Bộ phận nhân sự</w:t>
            </w:r>
          </w:p>
        </w:tc>
        <w:tc>
          <w:tcPr>
            <w:tcW w:type="dxa" w:w="2351"/>
          </w:tcPr>
          <w:p>
            <w:r>
              <w:t>- Thực hiện các chương trình đào tạo về bảo vệ thương hiệu.</w:t>
            </w:r>
          </w:p>
        </w:tc>
        <w:tc>
          <w:tcPr>
            <w:tcW w:type="dxa" w:w="2351"/>
          </w:tcPr>
          <w:p>
            <w:r>
              <w:t>- Theo dõi tình hình vi phạm và phối hợp xử lý.</w:t>
            </w:r>
          </w:p>
        </w:tc>
        <w:tc>
          <w:tcPr>
            <w:tcW w:type="dxa" w:w="2351"/>
          </w:tcPr>
          <w:p>
            <w:r>
              <w:t>- Cập nhật danh sách đại diện phát ngôn.</w:t>
            </w:r>
          </w:p>
        </w:tc>
      </w:tr>
      <w:tr>
        <w:tc>
          <w:tcPr>
            <w:tcW w:type="dxa" w:w="2351"/>
          </w:tcPr>
          <w:p>
            <w:r>
              <w:t>Ban giám đốc</w:t>
            </w:r>
          </w:p>
        </w:tc>
        <w:tc>
          <w:tcPr>
            <w:tcW w:type="dxa" w:w="2351"/>
          </w:tcPr>
          <w:p>
            <w:r>
              <w:t>- Quyết định các chính sách liên quan đến phát ngôn trên mạng xã hội.</w:t>
            </w:r>
          </w:p>
        </w:tc>
        <w:tc>
          <w:tcPr>
            <w:tcW w:type="dxa" w:w="2351"/>
          </w:tcPr>
          <w:p>
            <w:r>
              <w:t>- Chỉ định các đại diện phát ngôn cho Công ty.</w:t>
            </w:r>
          </w:p>
        </w:tc>
        <w:tc>
          <w:tcPr>
            <w:tcW w:type="dxa" w:w="2351"/>
          </w:tcPr>
          <w:p>
            <w:r>
              <w:t>- Đánh giá và điều chỉnh các quy định khi cần.</w:t>
            </w:r>
          </w:p>
        </w:tc>
      </w:tr>
      <w:tr>
        <w:tc>
          <w:tcPr>
            <w:tcW w:type="dxa" w:w="2351"/>
          </w:tcPr>
          <w:p>
            <w:r>
              <w:t>Nhân viên</w:t>
            </w:r>
          </w:p>
        </w:tc>
        <w:tc>
          <w:tcPr>
            <w:tcW w:type="dxa" w:w="2351"/>
          </w:tcPr>
          <w:p>
            <w:r>
              <w:t>- Tuân thủ các quy định phát ngôn của Công ty.</w:t>
            </w:r>
          </w:p>
        </w:tc>
        <w:tc>
          <w:tcPr>
            <w:tcW w:type="dxa" w:w="2351"/>
          </w:tcPr>
          <w:p>
            <w:r>
              <w:t>- Báo cáo thông tin tiêu cực ngay khi phát hiện.</w:t>
            </w:r>
          </w:p>
        </w:tc>
        <w:tc>
          <w:tcPr>
            <w:tcW w:type="dxa" w:w="2351"/>
          </w:tcPr>
          <w:p>
            <w:r>
              <w:t>- Tham gia các khóa đào tạo về quy định phát ngôn.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 VI PHẠM</w:t>
            </w:r>
          </w:p>
        </w:tc>
        <w:tc>
          <w:tcPr>
            <w:tcW w:type="dxa" w:w="1881"/>
          </w:tcPr>
          <w:p>
            <w:r>
              <w:rPr>
                <w:b/>
              </w:rPr>
              <w:t>HÌNH THỨC XỬ LÝ</w:t>
            </w:r>
          </w:p>
        </w:tc>
        <w:tc>
          <w:tcPr>
            <w:tcW w:type="dxa" w:w="1881"/>
          </w:tcPr>
          <w:p>
            <w:r>
              <w:rPr>
                <w:b/>
              </w:rPr>
              <w:t>MỨC TIỀN PHẠT (VNĐ)</w:t>
            </w:r>
          </w:p>
        </w:tc>
      </w:tr>
      <w:tr>
        <w:tc>
          <w:tcPr>
            <w:tcW w:type="dxa" w:w="1881"/>
          </w:tcPr>
          <w:p>
            <w:r>
              <w:t>Vi phạm nhẹ</w:t>
            </w:r>
          </w:p>
        </w:tc>
        <w:tc>
          <w:tcPr>
            <w:tcW w:type="dxa" w:w="1881"/>
          </w:tcPr>
          <w:p>
            <w:r>
              <w:t>Đăng tải thông tin không chính xác về Công ty</w:t>
            </w:r>
          </w:p>
        </w:tc>
        <w:tc>
          <w:tcPr>
            <w:tcW w:type="dxa" w:w="1881"/>
          </w:tcPr>
          <w:p>
            <w:r>
              <w:t>1 lần</w:t>
            </w:r>
          </w:p>
        </w:tc>
        <w:tc>
          <w:tcPr>
            <w:tcW w:type="dxa" w:w="1881"/>
          </w:tcPr>
          <w:p>
            <w:r>
              <w:t>Nhắc nhở</w:t>
            </w:r>
          </w:p>
        </w:tc>
        <w:tc>
          <w:tcPr>
            <w:tcW w:type="dxa" w:w="1881"/>
          </w:tcPr>
          <w:p>
            <w:r>
              <w:t>0</w:t>
            </w:r>
          </w:p>
        </w:tc>
      </w:tr>
      <w:tr>
        <w:tc>
          <w:tcPr>
            <w:tcW w:type="dxa" w:w="1881"/>
          </w:tcPr>
          <w:p>
            <w:r>
              <w:t>Vi phạm trung bình</w:t>
            </w:r>
          </w:p>
        </w:tc>
        <w:tc>
          <w:tcPr>
            <w:tcW w:type="dxa" w:w="1881"/>
          </w:tcPr>
          <w:p>
            <w:r>
              <w:t>Tiết lộ thông tin nội bộ không đúng quy định</w:t>
            </w:r>
          </w:p>
        </w:tc>
        <w:tc>
          <w:tcPr>
            <w:tcW w:type="dxa" w:w="1881"/>
          </w:tcPr>
          <w:p>
            <w:r>
              <w:t>1 lần</w:t>
            </w:r>
          </w:p>
        </w:tc>
        <w:tc>
          <w:tcPr>
            <w:tcW w:type="dxa" w:w="1881"/>
          </w:tcPr>
          <w:p>
            <w:r>
              <w:t>Cảnh cáo</w:t>
            </w:r>
          </w:p>
        </w:tc>
        <w:tc>
          <w:tcPr>
            <w:tcW w:type="dxa" w:w="1881"/>
          </w:tcPr>
          <w:p>
            <w:r>
              <w:t>1.000.000</w:t>
            </w:r>
          </w:p>
        </w:tc>
      </w:tr>
      <w:tr>
        <w:tc>
          <w:tcPr>
            <w:tcW w:type="dxa" w:w="1881"/>
          </w:tcPr>
          <w:p>
            <w:r>
              <w:t>Vi phạm nghiêm trọng</w:t>
            </w:r>
          </w:p>
        </w:tc>
        <w:tc>
          <w:tcPr>
            <w:tcW w:type="dxa" w:w="1881"/>
          </w:tcPr>
          <w:p>
            <w:r>
              <w:t>Phát ngôn tiêu cực về Công ty, đồng nghiệp</w:t>
            </w:r>
          </w:p>
        </w:tc>
        <w:tc>
          <w:tcPr>
            <w:tcW w:type="dxa" w:w="1881"/>
          </w:tcPr>
          <w:p>
            <w:r>
              <w:t>1 lần</w:t>
            </w:r>
          </w:p>
        </w:tc>
        <w:tc>
          <w:tcPr>
            <w:tcW w:type="dxa" w:w="1881"/>
          </w:tcPr>
          <w:p>
            <w:r>
              <w:t>Sa thải</w:t>
            </w:r>
          </w:p>
        </w:tc>
        <w:tc>
          <w:tcPr>
            <w:tcW w:type="dxa" w:w="1881"/>
          </w:tcPr>
          <w:p>
            <w:r>
              <w:t>5.000.000</w:t>
            </w:r>
          </w:p>
        </w:tc>
      </w:tr>
      <w:tr>
        <w:tc>
          <w:tcPr>
            <w:tcW w:type="dxa" w:w="1881"/>
          </w:tcPr>
          <w:p>
            <w:r>
              <w:t>Vi phạm đặc biệt nghiêm trọng</w:t>
            </w:r>
          </w:p>
        </w:tc>
        <w:tc>
          <w:tcPr>
            <w:tcW w:type="dxa" w:w="1881"/>
          </w:tcPr>
          <w:p>
            <w:r>
              <w:t>Tiết lộ thông tin mật gây tổn hại nghiêm trọng</w:t>
            </w:r>
          </w:p>
        </w:tc>
        <w:tc>
          <w:tcPr>
            <w:tcW w:type="dxa" w:w="1881"/>
          </w:tcPr>
          <w:p>
            <w:r>
              <w:t>1 lần</w:t>
            </w:r>
          </w:p>
        </w:tc>
        <w:tc>
          <w:tcPr>
            <w:tcW w:type="dxa" w:w="1881"/>
          </w:tcPr>
          <w:p>
            <w:r>
              <w:t>Truy cứu trách nhiệm hình sự</w:t>
            </w:r>
          </w:p>
        </w:tc>
        <w:tc>
          <w:tcPr>
            <w:tcW w:type="dxa" w:w="1881"/>
          </w:tcPr>
          <w:p>
            <w:r>
              <w:t>Theo quy định của pháp luật</w:t>
            </w:r>
          </w:p>
        </w:tc>
      </w:tr>
    </w:tbl>
    <w:p/>
    <w:p>
      <w:pPr>
        <w:pStyle w:val="Heading1"/>
        <w:spacing w:before="280" w:after="120"/>
      </w:pPr>
      <w:r>
        <w:t>VI. ĐIỀU KHOẢN THI HÀNH</w:t>
      </w:r>
    </w:p>
    <w:p>
      <w:pPr>
        <w:spacing w:after="120"/>
      </w:pPr>
      <w:r>
        <w:t>Quy định này có hiệu lực từ ngày 01 tháng 07 năm 2026 và sẽ thay thế tất cả các văn bản quy định liên quan trước đây. Tất cả các bộ phận và nhân viên trong Công ty có trách nhiệm phổ biến quy định này đến từng cá nhân và đảm bảo mọi người đều hiểu rõ và thực hiện đúng. Quy định này sẽ được xem xét, cập nhật và sửa đổi định kỳ hoặc khi có sự thay đổi trong chính sách hoặc quy định của pháp luật.</w:t>
      </w:r>
    </w:p>
    <w:p>
      <w:pPr>
        <w:spacing w:after="120"/>
      </w:pPr>
      <w:r>
        <w:t>TP. Ho Chi Minh, ngay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