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04/2026/QĐ-VSF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pPr>
    </w:p>
    <w:p>
      <w:pPr>
        <w:spacing w:after="120" w:line="269" w:lineRule="auto"/>
      </w:pPr>
    </w:p>
    <w:p>
      <w:pPr>
        <w:spacing w:after="120" w:line="269" w:lineRule="auto"/>
      </w:pPr>
    </w:p>
    <w:p>
      <w:pPr>
        <w:spacing w:after="120" w:line="269" w:lineRule="auto"/>
      </w:pPr>
    </w:p>
    <w:p>
      <w:pPr>
        <w:spacing w:after="120" w:line="269" w:lineRule="auto"/>
      </w:pPr>
    </w:p>
    <w:p>
      <w:pPr>
        <w:spacing w:after="200" w:line="269" w:lineRule="auto"/>
        <w:jc w:val="center"/>
      </w:pPr>
      <w:r>
        <w:rPr>
          <w:rFonts w:ascii="Times New Roman" w:hAnsi="Times New Roman" w:eastAsia="Times New Roman"/>
          <w:b/>
          <w:i w:val="0"/>
          <w:sz w:val="40"/>
        </w:rPr>
        <w:t>QUY CHẾ</w:t>
      </w:r>
    </w:p>
    <w:p>
      <w:pPr>
        <w:spacing w:after="240" w:line="269" w:lineRule="auto"/>
        <w:jc w:val="center"/>
      </w:pPr>
      <w:r>
        <w:rPr>
          <w:rFonts w:ascii="Times New Roman" w:hAnsi="Times New Roman" w:eastAsia="Times New Roman"/>
          <w:b/>
          <w:i w:val="0"/>
          <w:sz w:val="40"/>
        </w:rPr>
        <w:t>QUY CHẾ CÔNG TÁC PHÍ, ĐI CÔNG TÁC, TẠM ỨNG VÀ HOÀN ỨNG CHI PHÍ</w:t>
      </w:r>
    </w:p>
    <w:p>
      <w:pPr>
        <w:spacing w:after="120" w:line="269" w:lineRule="auto"/>
        <w:jc w:val="center"/>
      </w:pPr>
      <w:r>
        <w:rPr>
          <w:rFonts w:ascii="Times New Roman" w:hAnsi="Times New Roman" w:eastAsia="Times New Roman"/>
          <w:b w:val="0"/>
          <w:i/>
          <w:sz w:val="24"/>
        </w:rPr>
        <w:t>(Ban hành kèm theo Quyết định số 04/2026/QĐ-VSF ngày 24 tháng 06 năm 2026 của Tổng Giám đốc VSF Vinsmart Future)</w:t>
      </w:r>
    </w:p>
    <w:p>
      <w:pPr>
        <w:spacing w:after="120" w:line="269" w:lineRule="auto"/>
      </w:pPr>
    </w:p>
    <w:p>
      <w:pPr>
        <w:spacing w:after="120" w:line="269" w:lineRule="auto"/>
      </w:pPr>
    </w:p>
    <w:p>
      <w:pPr>
        <w:spacing w:after="120" w:line="269" w:lineRule="auto"/>
      </w:pPr>
    </w:p>
    <w:p>
      <w:pPr>
        <w:spacing w:after="120" w:line="269" w:lineRule="auto"/>
      </w:pP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r/>
            <w:r>
              <w:rPr>
                <w:rFonts w:ascii="Times New Roman" w:hAnsi="Times New Roman" w:eastAsia="Times New Roman"/>
                <w:b/>
                <w:i w:val="0"/>
                <w:sz w:val="22"/>
              </w:rPr>
              <w:t>Mã tài liệu</w:t>
            </w:r>
          </w:p>
        </w:tc>
        <w:tc>
          <w:tcPr>
            <w:tcW w:type="dxa" w:w="4844"/>
            <w:vAlign w:val="center"/>
          </w:tcPr>
          <w:p>
            <w:r/>
            <w:r>
              <w:rPr>
                <w:rFonts w:ascii="Times New Roman" w:hAnsi="Times New Roman" w:eastAsia="Times New Roman"/>
                <w:b w:val="0"/>
                <w:i w:val="0"/>
                <w:sz w:val="22"/>
              </w:rPr>
              <w:t>VSF/QD-TC-01/2026</w:t>
            </w:r>
          </w:p>
        </w:tc>
      </w:tr>
      <w:tr>
        <w:tc>
          <w:tcPr>
            <w:tcW w:type="dxa" w:w="4844"/>
            <w:vAlign w:val="center"/>
          </w:tcPr>
          <w:p>
            <w:r/>
            <w:r>
              <w:rPr>
                <w:rFonts w:ascii="Times New Roman" w:hAnsi="Times New Roman" w:eastAsia="Times New Roman"/>
                <w:b/>
                <w:i w:val="0"/>
                <w:sz w:val="22"/>
              </w:rPr>
              <w:t>Phiên bản</w:t>
            </w:r>
          </w:p>
        </w:tc>
        <w:tc>
          <w:tcPr>
            <w:tcW w:type="dxa" w:w="4844"/>
            <w:vAlign w:val="center"/>
          </w:tcPr>
          <w:p>
            <w:r/>
            <w:r>
              <w:rPr>
                <w:rFonts w:ascii="Times New Roman" w:hAnsi="Times New Roman" w:eastAsia="Times New Roman"/>
                <w:b w:val="0"/>
                <w:i w:val="0"/>
                <w:sz w:val="22"/>
              </w:rPr>
              <w:t>1.0</w:t>
            </w:r>
          </w:p>
        </w:tc>
      </w:tr>
      <w:tr>
        <w:tc>
          <w:tcPr>
            <w:tcW w:type="dxa" w:w="4844"/>
            <w:vAlign w:val="center"/>
          </w:tcPr>
          <w:p>
            <w:r/>
            <w:r>
              <w:rPr>
                <w:rFonts w:ascii="Times New Roman" w:hAnsi="Times New Roman" w:eastAsia="Times New Roman"/>
                <w:b/>
                <w:i w:val="0"/>
                <w:sz w:val="22"/>
              </w:rPr>
              <w:t>Ngày ban hành</w:t>
            </w:r>
          </w:p>
        </w:tc>
        <w:tc>
          <w:tcPr>
            <w:tcW w:type="dxa" w:w="4844"/>
            <w:vAlign w:val="center"/>
          </w:tcPr>
          <w:p>
            <w:r/>
            <w:r>
              <w:rPr>
                <w:rFonts w:ascii="Times New Roman" w:hAnsi="Times New Roman" w:eastAsia="Times New Roman"/>
                <w:b w:val="0"/>
                <w:i w:val="0"/>
                <w:sz w:val="22"/>
              </w:rPr>
              <w:t>24 tháng 06 năm 2026</w:t>
            </w:r>
          </w:p>
        </w:tc>
      </w:tr>
      <w:tr>
        <w:tc>
          <w:tcPr>
            <w:tcW w:type="dxa" w:w="4844"/>
            <w:vAlign w:val="center"/>
          </w:tcPr>
          <w:p>
            <w:r/>
            <w:r>
              <w:rPr>
                <w:rFonts w:ascii="Times New Roman" w:hAnsi="Times New Roman" w:eastAsia="Times New Roman"/>
                <w:b/>
                <w:i w:val="0"/>
                <w:sz w:val="22"/>
              </w:rPr>
              <w:t>Ngày hiệu lực</w:t>
            </w:r>
          </w:p>
        </w:tc>
        <w:tc>
          <w:tcPr>
            <w:tcW w:type="dxa" w:w="4844"/>
            <w:vAlign w:val="center"/>
          </w:tcPr>
          <w:p>
            <w:r/>
            <w:r>
              <w:rPr>
                <w:rFonts w:ascii="Times New Roman" w:hAnsi="Times New Roman" w:eastAsia="Times New Roman"/>
                <w:b w:val="0"/>
                <w:i w:val="0"/>
                <w:sz w:val="22"/>
              </w:rPr>
              <w:t>01 tháng 07 năm 2026</w:t>
            </w:r>
          </w:p>
        </w:tc>
      </w:tr>
      <w:tr>
        <w:tc>
          <w:tcPr>
            <w:tcW w:type="dxa" w:w="4844"/>
            <w:vAlign w:val="center"/>
          </w:tcPr>
          <w:p>
            <w:r/>
            <w:r>
              <w:rPr>
                <w:rFonts w:ascii="Times New Roman" w:hAnsi="Times New Roman" w:eastAsia="Times New Roman"/>
                <w:b/>
                <w:i w:val="0"/>
                <w:sz w:val="22"/>
              </w:rPr>
              <w:t>Đơn vị chủ trì</w:t>
            </w:r>
          </w:p>
        </w:tc>
        <w:tc>
          <w:tcPr>
            <w:tcW w:type="dxa" w:w="4844"/>
            <w:vAlign w:val="center"/>
          </w:tcPr>
          <w:p>
            <w:r/>
            <w:r>
              <w:rPr>
                <w:rFonts w:ascii="Times New Roman" w:hAnsi="Times New Roman" w:eastAsia="Times New Roman"/>
                <w:b w:val="0"/>
                <w:i w:val="0"/>
                <w:sz w:val="22"/>
              </w:rPr>
              <w:t>Phòng Tài chính - Kế toán</w:t>
            </w:r>
          </w:p>
        </w:tc>
      </w:tr>
      <w:tr>
        <w:tc>
          <w:tcPr>
            <w:tcW w:type="dxa" w:w="4844"/>
            <w:vAlign w:val="center"/>
          </w:tcPr>
          <w:p>
            <w:r/>
            <w:r>
              <w:rPr>
                <w:rFonts w:ascii="Times New Roman" w:hAnsi="Times New Roman" w:eastAsia="Times New Roman"/>
                <w:b/>
                <w:i w:val="0"/>
                <w:sz w:val="22"/>
              </w:rPr>
              <w:t>Phạm vi</w:t>
            </w:r>
          </w:p>
        </w:tc>
        <w:tc>
          <w:tcPr>
            <w:tcW w:type="dxa" w:w="4844"/>
            <w:vAlign w:val="center"/>
          </w:tcPr>
          <w:p>
            <w:r/>
            <w:r>
              <w:rPr>
                <w:rFonts w:ascii="Times New Roman" w:hAnsi="Times New Roman" w:eastAsia="Times New Roman"/>
                <w:b w:val="0"/>
                <w:i w:val="0"/>
                <w:sz w:val="22"/>
              </w:rPr>
              <w:t>Áp dụng tại trụ sở, văn phòng, kho, nhà máy, địa điểm công tác và hệ thống do Công ty quản lý</w:t>
            </w:r>
          </w:p>
        </w:tc>
      </w:tr>
    </w:tbl>
    <w:p>
      <w:pPr>
        <w:spacing w:after="120" w:line="269" w:lineRule="auto"/>
        <w:jc w:val="center"/>
      </w:pPr>
      <w:r>
        <w:rPr>
          <w:rFonts w:ascii="Times New Roman" w:hAnsi="Times New Roman" w:eastAsia="Times New Roman"/>
          <w:b/>
          <w:i w:val="0"/>
          <w:sz w:val="22"/>
        </w:rPr>
        <w:t>TÀI LIỆU LƯU HÀNH NỘI BỘ - KHÔNG PHÁT TÁN RA BÊN NGOÀI KHI CHƯA ĐƯỢC PHÊ DUYỆT</w:t>
      </w:r>
    </w:p>
    <w:p>
      <w:r>
        <w:br w:type="page"/>
      </w:r>
    </w:p>
    <w:tbl>
      <w:tblPr>
        <w:tblW w:type="auto" w:w="0"/>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04/2026/QĐ-VSF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jc w:val="center"/>
      </w:pPr>
      <w:r>
        <w:rPr>
          <w:rFonts w:ascii="Times New Roman" w:hAnsi="Times New Roman" w:eastAsia="Times New Roman"/>
          <w:b/>
          <w:i w:val="0"/>
          <w:sz w:val="32"/>
        </w:rPr>
        <w:t>QUYẾT ĐỊNH</w:t>
      </w:r>
    </w:p>
    <w:p>
      <w:pPr>
        <w:spacing w:after="120" w:line="269" w:lineRule="auto"/>
        <w:jc w:val="center"/>
      </w:pPr>
      <w:r>
        <w:rPr>
          <w:rFonts w:ascii="Times New Roman" w:hAnsi="Times New Roman" w:eastAsia="Times New Roman"/>
          <w:b/>
          <w:i w:val="0"/>
          <w:sz w:val="26"/>
        </w:rPr>
        <w:t>Về việc ban hành quy chế quy chế công tác phí, đi công tác, tạm ứng và hoàn ứng chi phí</w:t>
      </w:r>
    </w:p>
    <w:p>
      <w:pPr>
        <w:spacing w:after="120" w:line="269" w:lineRule="auto"/>
        <w:jc w:val="center"/>
      </w:pPr>
      <w:r>
        <w:rPr>
          <w:rFonts w:ascii="Times New Roman" w:hAnsi="Times New Roman" w:eastAsia="Times New Roman"/>
          <w:b/>
          <w:i w:val="0"/>
          <w:sz w:val="24"/>
        </w:rPr>
        <w:t>TỔNG GIÁM ĐỐC CÔNG TY CỔ PHẦN VSF VINSMART FUTURE</w:t>
      </w:r>
    </w:p>
    <w:p>
      <w:pPr>
        <w:spacing w:after="120" w:line="269" w:lineRule="auto"/>
      </w:pPr>
      <w:r>
        <w:rPr>
          <w:rFonts w:ascii="Times New Roman" w:hAnsi="Times New Roman" w:eastAsia="Times New Roman"/>
          <w:b w:val="0"/>
          <w:i/>
          <w:sz w:val="24"/>
        </w:rPr>
        <w:t>Căn cứ:</w:t>
      </w:r>
    </w:p>
    <w:p>
      <w:pPr>
        <w:spacing w:after="60" w:line="269" w:lineRule="auto"/>
        <w:ind w:firstLine="0"/>
      </w:pPr>
      <w:r>
        <w:rPr>
          <w:rFonts w:ascii="Times New Roman" w:hAnsi="Times New Roman" w:eastAsia="Times New Roman"/>
          <w:b w:val="0"/>
          <w:i w:val="0"/>
          <w:sz w:val="24"/>
        </w:rPr>
        <w:t>- Bộ luật Lao động số 45/2019/QH14 ngày 20/11/2019 và các văn bản hướng dẫn thi hành;</w:t>
      </w:r>
    </w:p>
    <w:p>
      <w:pPr>
        <w:spacing w:after="60" w:line="269" w:lineRule="auto"/>
        <w:ind w:firstLine="0"/>
      </w:pPr>
      <w:r>
        <w:rPr>
          <w:rFonts w:ascii="Times New Roman" w:hAnsi="Times New Roman" w:eastAsia="Times New Roman"/>
          <w:b w:val="0"/>
          <w:i w:val="0"/>
          <w:sz w:val="24"/>
        </w:rPr>
        <w:t>- Luật Doanh nghiệp, Điều lệ tổ chức hoạt động và các quy chế quản trị nội bộ của Công ty;</w:t>
      </w:r>
    </w:p>
    <w:p>
      <w:pPr>
        <w:spacing w:after="60" w:line="269" w:lineRule="auto"/>
        <w:ind w:firstLine="0"/>
      </w:pPr>
      <w:r>
        <w:rPr>
          <w:rFonts w:ascii="Times New Roman" w:hAnsi="Times New Roman" w:eastAsia="Times New Roman"/>
          <w:b w:val="0"/>
          <w:i w:val="0"/>
          <w:sz w:val="24"/>
        </w:rPr>
        <w:t>- Nội quy lao động, Thỏa ước lao động tập thể, Quy chế tài chính và các quy định nội bộ đang có hiệu lực;</w:t>
      </w:r>
    </w:p>
    <w:p>
      <w:pPr>
        <w:spacing w:after="60" w:line="269" w:lineRule="auto"/>
        <w:ind w:firstLine="0"/>
      </w:pPr>
      <w:r>
        <w:rPr>
          <w:rFonts w:ascii="Times New Roman" w:hAnsi="Times New Roman" w:eastAsia="Times New Roman"/>
          <w:b w:val="0"/>
          <w:i w:val="0"/>
          <w:sz w:val="24"/>
        </w:rPr>
        <w:t>- Nhu cầu quản trị, vận hành, kiểm soát rủi ro và bảo đảm môi trường làm việc chuyên nghiệp tại Công ty.</w:t>
      </w:r>
    </w:p>
    <w:p>
      <w:pPr>
        <w:spacing w:after="60" w:line="269" w:lineRule="auto"/>
        <w:ind w:firstLine="0"/>
      </w:pPr>
      <w:r>
        <w:rPr>
          <w:rFonts w:ascii="Times New Roman" w:hAnsi="Times New Roman" w:eastAsia="Times New Roman"/>
          <w:b w:val="0"/>
          <w:i w:val="0"/>
          <w:sz w:val="24"/>
        </w:rPr>
        <w:t>- Luật Kế toán, quy định thuế, hóa đơn chứng từ và Quy chế tài chính nội bộ của Công ty;</w:t>
      </w:r>
    </w:p>
    <w:p>
      <w:pPr>
        <w:spacing w:after="120" w:line="269" w:lineRule="auto"/>
        <w:jc w:val="center"/>
      </w:pPr>
      <w:r>
        <w:rPr>
          <w:rFonts w:ascii="Times New Roman" w:hAnsi="Times New Roman" w:eastAsia="Times New Roman"/>
          <w:b/>
          <w:i w:val="0"/>
          <w:sz w:val="24"/>
        </w:rPr>
        <w:t>QUYẾT ĐỊNH:</w:t>
      </w:r>
    </w:p>
    <w:p>
      <w:pPr>
        <w:spacing w:after="120" w:line="269" w:lineRule="auto"/>
      </w:pPr>
      <w:r>
        <w:rPr>
          <w:rFonts w:ascii="Times New Roman" w:hAnsi="Times New Roman" w:eastAsia="Times New Roman"/>
          <w:b w:val="0"/>
          <w:i w:val="0"/>
          <w:sz w:val="24"/>
        </w:rPr>
        <w:t>Điều 1. Ban hành kèm theo Quyết định này quy chế “Quy chế công tác phí, đi công tác, tạm ứng và hoàn ứng chi phí”.</w:t>
      </w:r>
    </w:p>
    <w:p>
      <w:pPr>
        <w:spacing w:after="120" w:line="269" w:lineRule="auto"/>
      </w:pPr>
      <w:r>
        <w:rPr>
          <w:rFonts w:ascii="Times New Roman" w:hAnsi="Times New Roman" w:eastAsia="Times New Roman"/>
          <w:b w:val="0"/>
          <w:i w:val="0"/>
          <w:sz w:val="24"/>
        </w:rPr>
        <w:t>Điều 2. Trưởng Phòng Tài chính - Kế toán, Trưởng các phòng ban, quản lý trực tiếp và toàn thể người lao động có trách nhiệm tổ chức thực hiện.</w:t>
      </w:r>
    </w:p>
    <w:p>
      <w:pPr>
        <w:spacing w:after="120" w:line="269" w:lineRule="auto"/>
      </w:pPr>
      <w:r>
        <w:rPr>
          <w:rFonts w:ascii="Times New Roman" w:hAnsi="Times New Roman" w:eastAsia="Times New Roman"/>
          <w:b w:val="0"/>
          <w:i w:val="0"/>
          <w:sz w:val="24"/>
        </w:rPr>
        <w:t>Điều 3. Quyết định có hiệu lực kể từ ngày 01 tháng 07 năm 2026. Các quy định trước đây trái với văn bản này hết hiệu lực kể từ ngày văn bản này có hiệu lực.</w:t>
      </w:r>
    </w:p>
    <w:p>
      <w:pPr>
        <w:spacing w:after="120" w:line="269" w:lineRule="auto"/>
      </w:pPr>
      <w:r>
        <w:rPr>
          <w:rFonts w:ascii="Times New Roman" w:hAnsi="Times New Roman" w:eastAsia="Times New Roman"/>
          <w:b w:val="0"/>
          <w:i w:val="0"/>
          <w:sz w:val="22"/>
        </w:rPr>
        <w:t>Nơi nhận: Ban Tổng Giám đốc; Các Khối/Phòng/Ban; Lưu: HCNS, Pháp chế.</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p>
      <w:r>
        <w:br w:type="page"/>
      </w:r>
    </w:p>
    <w:p>
      <w:pPr>
        <w:spacing w:after="120" w:line="269" w:lineRule="auto"/>
        <w:jc w:val="center"/>
      </w:pPr>
      <w:r>
        <w:rPr>
          <w:rFonts w:ascii="Times New Roman" w:hAnsi="Times New Roman" w:eastAsia="Times New Roman"/>
          <w:b/>
          <w:i w:val="0"/>
          <w:sz w:val="32"/>
        </w:rPr>
        <w:t>MỤC LỤC</w:t>
      </w:r>
    </w:p>
    <w:p>
      <w:pPr>
        <w:spacing w:after="120" w:line="269" w:lineRule="auto"/>
      </w:pPr>
      <w:r>
        <w:rPr>
          <w:rFonts w:ascii="Times New Roman" w:hAnsi="Times New Roman" w:eastAsia="Times New Roman"/>
          <w:b w:val="0"/>
          <w:i/>
          <w:sz w:val="22"/>
        </w:rPr>
        <w:t>Mục lục tĩnh phục vụ tra cứu nội bộ; số trang được cập nhật khi phát hành bản PDF chính thức trên hệ thống DMS.</w:t>
      </w:r>
    </w:p>
    <w:p>
      <w:pPr>
        <w:spacing w:after="40" w:line="269" w:lineRule="auto"/>
        <w:ind w:firstLine="0"/>
      </w:pPr>
      <w:r>
        <w:rPr>
          <w:rFonts w:ascii="Times New Roman" w:hAnsi="Times New Roman" w:eastAsia="Times New Roman"/>
          <w:b w:val="0"/>
          <w:i w:val="0"/>
          <w:sz w:val="22"/>
        </w:rPr>
        <w:t>1. Điều 1. Phạm vi điều chỉnh</w:t>
      </w:r>
    </w:p>
    <w:p>
      <w:pPr>
        <w:spacing w:after="40" w:line="269" w:lineRule="auto"/>
        <w:ind w:firstLine="0"/>
      </w:pPr>
      <w:r>
        <w:rPr>
          <w:rFonts w:ascii="Times New Roman" w:hAnsi="Times New Roman" w:eastAsia="Times New Roman"/>
          <w:b w:val="0"/>
          <w:i w:val="0"/>
          <w:sz w:val="22"/>
        </w:rPr>
        <w:t>2. Điều 2. Đối tượng áp dụng</w:t>
      </w:r>
    </w:p>
    <w:p>
      <w:pPr>
        <w:spacing w:after="40" w:line="269" w:lineRule="auto"/>
        <w:ind w:firstLine="0"/>
      </w:pPr>
      <w:r>
        <w:rPr>
          <w:rFonts w:ascii="Times New Roman" w:hAnsi="Times New Roman" w:eastAsia="Times New Roman"/>
          <w:b w:val="0"/>
          <w:i w:val="0"/>
          <w:sz w:val="22"/>
        </w:rPr>
        <w:t>3. Điều 3. Giải thích từ ngữ</w:t>
      </w:r>
    </w:p>
    <w:p>
      <w:pPr>
        <w:spacing w:after="40" w:line="269" w:lineRule="auto"/>
        <w:ind w:firstLine="0"/>
      </w:pPr>
      <w:r>
        <w:rPr>
          <w:rFonts w:ascii="Times New Roman" w:hAnsi="Times New Roman" w:eastAsia="Times New Roman"/>
          <w:b w:val="0"/>
          <w:i w:val="0"/>
          <w:sz w:val="22"/>
        </w:rPr>
        <w:t>4. Điều 4. Nguyên tắc áp dụng</w:t>
      </w:r>
    </w:p>
    <w:p>
      <w:pPr>
        <w:spacing w:after="40" w:line="269" w:lineRule="auto"/>
        <w:ind w:firstLine="0"/>
      </w:pPr>
      <w:r>
        <w:rPr>
          <w:rFonts w:ascii="Times New Roman" w:hAnsi="Times New Roman" w:eastAsia="Times New Roman"/>
          <w:b w:val="0"/>
          <w:i w:val="0"/>
          <w:sz w:val="22"/>
        </w:rPr>
        <w:t>5. Điều 5. Trách nhiệm chung</w:t>
      </w:r>
    </w:p>
    <w:p>
      <w:pPr>
        <w:spacing w:after="40" w:line="269" w:lineRule="auto"/>
        <w:ind w:firstLine="0"/>
      </w:pPr>
      <w:r>
        <w:rPr>
          <w:rFonts w:ascii="Times New Roman" w:hAnsi="Times New Roman" w:eastAsia="Times New Roman"/>
          <w:b w:val="0"/>
          <w:i w:val="0"/>
          <w:sz w:val="22"/>
        </w:rPr>
        <w:t>6. Điều 6. Phân cấp thẩm quyền</w:t>
      </w:r>
    </w:p>
    <w:p>
      <w:pPr>
        <w:spacing w:after="40" w:line="269" w:lineRule="auto"/>
        <w:ind w:firstLine="0"/>
      </w:pPr>
      <w:r>
        <w:rPr>
          <w:rFonts w:ascii="Times New Roman" w:hAnsi="Times New Roman" w:eastAsia="Times New Roman"/>
          <w:b w:val="0"/>
          <w:i w:val="0"/>
          <w:sz w:val="22"/>
        </w:rPr>
        <w:t>7. Điều 7. Hồ sơ, chứng từ và lưu trữ</w:t>
      </w:r>
    </w:p>
    <w:p>
      <w:pPr>
        <w:spacing w:after="40" w:line="269" w:lineRule="auto"/>
        <w:ind w:firstLine="0"/>
      </w:pPr>
      <w:r>
        <w:rPr>
          <w:rFonts w:ascii="Times New Roman" w:hAnsi="Times New Roman" w:eastAsia="Times New Roman"/>
          <w:b w:val="0"/>
          <w:i w:val="0"/>
          <w:sz w:val="22"/>
        </w:rPr>
        <w:t>8. Điều 8. Quy định về Quy trình phê duyệt đi công tác trong nước</w:t>
      </w:r>
    </w:p>
    <w:p>
      <w:pPr>
        <w:spacing w:after="40" w:line="269" w:lineRule="auto"/>
        <w:ind w:firstLine="0"/>
      </w:pPr>
      <w:r>
        <w:rPr>
          <w:rFonts w:ascii="Times New Roman" w:hAnsi="Times New Roman" w:eastAsia="Times New Roman"/>
          <w:b w:val="0"/>
          <w:i w:val="0"/>
          <w:sz w:val="22"/>
        </w:rPr>
        <w:t>9. Điều 9. Quy trình thực hiện Quy trình phê duyệt đi công tác trong nước</w:t>
      </w:r>
    </w:p>
    <w:p>
      <w:pPr>
        <w:spacing w:after="40" w:line="269" w:lineRule="auto"/>
        <w:ind w:firstLine="0"/>
      </w:pPr>
      <w:r>
        <w:rPr>
          <w:rFonts w:ascii="Times New Roman" w:hAnsi="Times New Roman" w:eastAsia="Times New Roman"/>
          <w:b w:val="0"/>
          <w:i w:val="0"/>
          <w:sz w:val="22"/>
        </w:rPr>
        <w:t>10. Điều 10. Quy định về Quy trình phê duyệt đi công tác ngoài nước</w:t>
      </w:r>
    </w:p>
    <w:p>
      <w:pPr>
        <w:spacing w:after="40" w:line="269" w:lineRule="auto"/>
        <w:ind w:firstLine="0"/>
      </w:pPr>
      <w:r>
        <w:rPr>
          <w:rFonts w:ascii="Times New Roman" w:hAnsi="Times New Roman" w:eastAsia="Times New Roman"/>
          <w:b w:val="0"/>
          <w:i w:val="0"/>
          <w:sz w:val="22"/>
        </w:rPr>
        <w:t>11. Điều 11. Quy trình thực hiện Quy trình phê duyệt đi công tác ngoài nước</w:t>
      </w:r>
    </w:p>
    <w:p>
      <w:pPr>
        <w:spacing w:after="40" w:line="269" w:lineRule="auto"/>
        <w:ind w:firstLine="0"/>
      </w:pPr>
      <w:r>
        <w:rPr>
          <w:rFonts w:ascii="Times New Roman" w:hAnsi="Times New Roman" w:eastAsia="Times New Roman"/>
          <w:b w:val="0"/>
          <w:i w:val="0"/>
          <w:sz w:val="22"/>
        </w:rPr>
        <w:t>12. Điều 12. Quy định về Quy định định mức công tác phí gồm khách sạn, máy bay, ăn uống</w:t>
      </w:r>
    </w:p>
    <w:p>
      <w:pPr>
        <w:spacing w:after="40" w:line="269" w:lineRule="auto"/>
        <w:ind w:firstLine="0"/>
      </w:pPr>
      <w:r>
        <w:rPr>
          <w:rFonts w:ascii="Times New Roman" w:hAnsi="Times New Roman" w:eastAsia="Times New Roman"/>
          <w:b w:val="0"/>
          <w:i w:val="0"/>
          <w:sz w:val="22"/>
        </w:rPr>
        <w:t>13. Điều 13. Quy trình thực hiện Quy định định mức công tác phí gồm khách sạn, máy bay, ăn uống</w:t>
      </w:r>
    </w:p>
    <w:p>
      <w:pPr>
        <w:spacing w:after="40" w:line="269" w:lineRule="auto"/>
        <w:ind w:firstLine="0"/>
      </w:pPr>
      <w:r>
        <w:rPr>
          <w:rFonts w:ascii="Times New Roman" w:hAnsi="Times New Roman" w:eastAsia="Times New Roman"/>
          <w:b w:val="0"/>
          <w:i w:val="0"/>
          <w:sz w:val="22"/>
        </w:rPr>
        <w:t>14. Điều 14. Quy định về Quy trình tạm ứng chi phí công tác</w:t>
      </w:r>
    </w:p>
    <w:p>
      <w:pPr>
        <w:spacing w:after="40" w:line="269" w:lineRule="auto"/>
        <w:ind w:firstLine="0"/>
      </w:pPr>
      <w:r>
        <w:rPr>
          <w:rFonts w:ascii="Times New Roman" w:hAnsi="Times New Roman" w:eastAsia="Times New Roman"/>
          <w:b w:val="0"/>
          <w:i w:val="0"/>
          <w:sz w:val="22"/>
        </w:rPr>
        <w:t>15. Điều 15. Quy trình thực hiện Quy trình tạm ứng chi phí công tác</w:t>
      </w:r>
    </w:p>
    <w:p>
      <w:pPr>
        <w:spacing w:after="40" w:line="269" w:lineRule="auto"/>
        <w:ind w:firstLine="0"/>
      </w:pPr>
      <w:r>
        <w:rPr>
          <w:rFonts w:ascii="Times New Roman" w:hAnsi="Times New Roman" w:eastAsia="Times New Roman"/>
          <w:b w:val="0"/>
          <w:i w:val="0"/>
          <w:sz w:val="22"/>
        </w:rPr>
        <w:t>16. Điều 16. Quy định về Quy trình hoàn ứng chi phí công tác</w:t>
      </w:r>
    </w:p>
    <w:p>
      <w:pPr>
        <w:spacing w:after="40" w:line="269" w:lineRule="auto"/>
        <w:ind w:firstLine="0"/>
      </w:pPr>
      <w:r>
        <w:rPr>
          <w:rFonts w:ascii="Times New Roman" w:hAnsi="Times New Roman" w:eastAsia="Times New Roman"/>
          <w:b w:val="0"/>
          <w:i w:val="0"/>
          <w:sz w:val="22"/>
        </w:rPr>
        <w:t>17. Điều 17. Quy trình thực hiện Quy trình hoàn ứng chi phí công tác</w:t>
      </w:r>
    </w:p>
    <w:p>
      <w:pPr>
        <w:spacing w:after="40" w:line="269" w:lineRule="auto"/>
        <w:ind w:firstLine="0"/>
      </w:pPr>
      <w:r>
        <w:rPr>
          <w:rFonts w:ascii="Times New Roman" w:hAnsi="Times New Roman" w:eastAsia="Times New Roman"/>
          <w:b w:val="0"/>
          <w:i w:val="0"/>
          <w:sz w:val="22"/>
        </w:rPr>
        <w:t>18. Điều 18. Quy định về tiếp nhận yêu cầu và phân loại mức độ ưu tiên</w:t>
      </w:r>
    </w:p>
    <w:p>
      <w:pPr>
        <w:spacing w:after="40" w:line="269" w:lineRule="auto"/>
        <w:ind w:firstLine="0"/>
      </w:pPr>
      <w:r>
        <w:rPr>
          <w:rFonts w:ascii="Times New Roman" w:hAnsi="Times New Roman" w:eastAsia="Times New Roman"/>
          <w:b w:val="0"/>
          <w:i w:val="0"/>
          <w:sz w:val="22"/>
        </w:rPr>
        <w:t>19. Điều 19. Quy định về truyền thông nội bộ và đào tạo tuân thủ</w:t>
      </w:r>
    </w:p>
    <w:p>
      <w:pPr>
        <w:spacing w:after="40" w:line="269" w:lineRule="auto"/>
        <w:ind w:firstLine="0"/>
      </w:pPr>
      <w:r>
        <w:rPr>
          <w:rFonts w:ascii="Times New Roman" w:hAnsi="Times New Roman" w:eastAsia="Times New Roman"/>
          <w:b w:val="0"/>
          <w:i w:val="0"/>
          <w:sz w:val="22"/>
        </w:rPr>
        <w:t>20. Điều 20. Quy định về kiểm tra định kỳ và kiểm tra đột xuất</w:t>
      </w:r>
    </w:p>
    <w:p>
      <w:pPr>
        <w:spacing w:after="40" w:line="269" w:lineRule="auto"/>
        <w:ind w:firstLine="0"/>
      </w:pPr>
      <w:r>
        <w:rPr>
          <w:rFonts w:ascii="Times New Roman" w:hAnsi="Times New Roman" w:eastAsia="Times New Roman"/>
          <w:b w:val="0"/>
          <w:i w:val="0"/>
          <w:sz w:val="22"/>
        </w:rPr>
        <w:t>21. Điều 21. Quy định về báo cáo tháng/quý cho Ban Tổng Giám đốc</w:t>
      </w:r>
    </w:p>
    <w:p>
      <w:pPr>
        <w:spacing w:after="40" w:line="269" w:lineRule="auto"/>
        <w:ind w:firstLine="0"/>
      </w:pPr>
      <w:r>
        <w:rPr>
          <w:rFonts w:ascii="Times New Roman" w:hAnsi="Times New Roman" w:eastAsia="Times New Roman"/>
          <w:b w:val="0"/>
          <w:i w:val="0"/>
          <w:sz w:val="22"/>
        </w:rPr>
        <w:t>22. Điều 22. Quy định về bảo mật thông tin và phân quyền truy cập hồ sơ</w:t>
      </w:r>
    </w:p>
    <w:p>
      <w:pPr>
        <w:spacing w:after="40" w:line="269" w:lineRule="auto"/>
        <w:ind w:firstLine="0"/>
      </w:pPr>
      <w:r>
        <w:rPr>
          <w:rFonts w:ascii="Times New Roman" w:hAnsi="Times New Roman" w:eastAsia="Times New Roman"/>
          <w:b w:val="0"/>
          <w:i w:val="0"/>
          <w:sz w:val="22"/>
        </w:rPr>
        <w:t>23. Điều 23. Quy định về phối hợp giữa các phòng ban liên quan</w:t>
      </w:r>
    </w:p>
    <w:p>
      <w:pPr>
        <w:spacing w:after="40" w:line="269" w:lineRule="auto"/>
        <w:ind w:firstLine="0"/>
      </w:pPr>
      <w:r>
        <w:rPr>
          <w:rFonts w:ascii="Times New Roman" w:hAnsi="Times New Roman" w:eastAsia="Times New Roman"/>
          <w:b w:val="0"/>
          <w:i w:val="0"/>
          <w:sz w:val="22"/>
        </w:rPr>
        <w:t>24. Điều 24. Quy định về đánh giá rủi ro và biện pháp phòng ngừa</w:t>
      </w:r>
    </w:p>
    <w:p>
      <w:pPr>
        <w:spacing w:after="40" w:line="269" w:lineRule="auto"/>
        <w:ind w:firstLine="0"/>
      </w:pPr>
      <w:r>
        <w:rPr>
          <w:rFonts w:ascii="Times New Roman" w:hAnsi="Times New Roman" w:eastAsia="Times New Roman"/>
          <w:b w:val="0"/>
          <w:i w:val="0"/>
          <w:sz w:val="22"/>
        </w:rPr>
        <w:t>25. Điều 25. Quy định về phê duyệt ngoại lệ và vượt thẩm quyền</w:t>
      </w:r>
    </w:p>
    <w:p>
      <w:pPr>
        <w:spacing w:after="40" w:line="269" w:lineRule="auto"/>
        <w:ind w:firstLine="0"/>
      </w:pPr>
      <w:r>
        <w:rPr>
          <w:rFonts w:ascii="Times New Roman" w:hAnsi="Times New Roman" w:eastAsia="Times New Roman"/>
          <w:b w:val="0"/>
          <w:i w:val="0"/>
          <w:sz w:val="22"/>
        </w:rPr>
        <w:t>26. Điều 26. Quy định về lưu trữ chứng cứ, hình ảnh, log và biên bản</w:t>
      </w:r>
    </w:p>
    <w:p>
      <w:pPr>
        <w:spacing w:after="40" w:line="269" w:lineRule="auto"/>
        <w:ind w:firstLine="0"/>
      </w:pPr>
      <w:r>
        <w:rPr>
          <w:rFonts w:ascii="Times New Roman" w:hAnsi="Times New Roman" w:eastAsia="Times New Roman"/>
          <w:b w:val="0"/>
          <w:i w:val="0"/>
          <w:sz w:val="22"/>
        </w:rPr>
        <w:t>27. Điều 27. Quy định về nhắc nhở, yêu cầu khắc phục và theo dõi sau khắc phục</w:t>
      </w:r>
    </w:p>
    <w:p>
      <w:pPr>
        <w:spacing w:after="40" w:line="269" w:lineRule="auto"/>
        <w:ind w:firstLine="0"/>
      </w:pPr>
      <w:r>
        <w:rPr>
          <w:rFonts w:ascii="Times New Roman" w:hAnsi="Times New Roman" w:eastAsia="Times New Roman"/>
          <w:b w:val="0"/>
          <w:i w:val="0"/>
          <w:sz w:val="22"/>
        </w:rPr>
        <w:t>28. Điều 28. Quy định về bồi hoàn thiệt hại thực tế nếu có căn cứ</w:t>
      </w:r>
    </w:p>
    <w:p>
      <w:pPr>
        <w:spacing w:after="40" w:line="269" w:lineRule="auto"/>
        <w:ind w:firstLine="0"/>
      </w:pPr>
      <w:r>
        <w:rPr>
          <w:rFonts w:ascii="Times New Roman" w:hAnsi="Times New Roman" w:eastAsia="Times New Roman"/>
          <w:b w:val="0"/>
          <w:i w:val="0"/>
          <w:sz w:val="22"/>
        </w:rPr>
        <w:t>29. Điều 29. Quy định về khiếu nại, giải trình và bảo vệ người phản ánh</w:t>
      </w:r>
    </w:p>
    <w:p>
      <w:pPr>
        <w:spacing w:after="40" w:line="269" w:lineRule="auto"/>
        <w:ind w:firstLine="0"/>
      </w:pPr>
      <w:r>
        <w:rPr>
          <w:rFonts w:ascii="Times New Roman" w:hAnsi="Times New Roman" w:eastAsia="Times New Roman"/>
          <w:b w:val="0"/>
          <w:i w:val="0"/>
          <w:sz w:val="22"/>
        </w:rPr>
        <w:t>30. Điều 30. Quy định về rà soát định kỳ và cải tiến quy trình</w:t>
      </w:r>
    </w:p>
    <w:p>
      <w:pPr>
        <w:spacing w:after="40" w:line="269" w:lineRule="auto"/>
        <w:ind w:firstLine="0"/>
      </w:pPr>
      <w:r>
        <w:rPr>
          <w:rFonts w:ascii="Times New Roman" w:hAnsi="Times New Roman" w:eastAsia="Times New Roman"/>
          <w:b w:val="0"/>
          <w:i w:val="0"/>
          <w:sz w:val="22"/>
        </w:rPr>
        <w:t>31. Điều 31. Quy định về chuyển tiếp đối với hồ sơ đang xử lý</w:t>
      </w:r>
    </w:p>
    <w:p>
      <w:pPr>
        <w:spacing w:after="40" w:line="269" w:lineRule="auto"/>
        <w:ind w:firstLine="0"/>
      </w:pPr>
      <w:r>
        <w:rPr>
          <w:rFonts w:ascii="Times New Roman" w:hAnsi="Times New Roman" w:eastAsia="Times New Roman"/>
          <w:b w:val="0"/>
          <w:i w:val="0"/>
          <w:sz w:val="22"/>
        </w:rPr>
        <w:t>32. Điều 32. Quy định về hành vi không được thực hiện</w:t>
      </w:r>
    </w:p>
    <w:p>
      <w:pPr>
        <w:spacing w:after="40" w:line="269" w:lineRule="auto"/>
        <w:ind w:firstLine="0"/>
      </w:pPr>
      <w:r>
        <w:rPr>
          <w:rFonts w:ascii="Times New Roman" w:hAnsi="Times New Roman" w:eastAsia="Times New Roman"/>
          <w:b w:val="0"/>
          <w:i w:val="0"/>
          <w:sz w:val="22"/>
        </w:rPr>
        <w:t>33. Điều 33. Quy định về số hóa biểu mẫu và sử dụng chữ ký điện tử</w:t>
      </w:r>
    </w:p>
    <w:p>
      <w:pPr>
        <w:spacing w:after="40" w:line="269" w:lineRule="auto"/>
        <w:ind w:firstLine="0"/>
      </w:pPr>
      <w:r>
        <w:rPr>
          <w:rFonts w:ascii="Times New Roman" w:hAnsi="Times New Roman" w:eastAsia="Times New Roman"/>
          <w:b w:val="0"/>
          <w:i w:val="0"/>
          <w:sz w:val="22"/>
        </w:rPr>
        <w:t>34. Điều 34. Quy định về đánh giá hiệu quả thực hiện quy định</w:t>
      </w:r>
    </w:p>
    <w:p>
      <w:pPr>
        <w:spacing w:after="40" w:line="269" w:lineRule="auto"/>
        <w:ind w:firstLine="0"/>
      </w:pPr>
      <w:r>
        <w:rPr>
          <w:rFonts w:ascii="Times New Roman" w:hAnsi="Times New Roman" w:eastAsia="Times New Roman"/>
          <w:b w:val="0"/>
          <w:i w:val="0"/>
          <w:sz w:val="22"/>
        </w:rPr>
        <w:t>35. Điều 35. Quy định về kiểm toán nội bộ và trách nhiệm giải trình</w:t>
      </w:r>
    </w:p>
    <w:p>
      <w:pPr>
        <w:spacing w:after="40" w:line="269" w:lineRule="auto"/>
        <w:ind w:firstLine="0"/>
      </w:pPr>
      <w:r>
        <w:rPr>
          <w:rFonts w:ascii="Times New Roman" w:hAnsi="Times New Roman" w:eastAsia="Times New Roman"/>
          <w:b w:val="0"/>
          <w:i w:val="0"/>
          <w:sz w:val="22"/>
        </w:rPr>
        <w:t>36. Điều 36. Quy định về xử lý trường hợp bất khả kháng</w:t>
      </w:r>
    </w:p>
    <w:p>
      <w:pPr>
        <w:spacing w:after="40" w:line="269" w:lineRule="auto"/>
        <w:ind w:firstLine="0"/>
      </w:pPr>
      <w:r>
        <w:rPr>
          <w:rFonts w:ascii="Times New Roman" w:hAnsi="Times New Roman" w:eastAsia="Times New Roman"/>
          <w:b w:val="0"/>
          <w:i w:val="0"/>
          <w:sz w:val="22"/>
        </w:rPr>
        <w:t>37. Điều 37. Quy định về phối hợp với nhà thầu, khách hàng và bên thứ ba</w:t>
      </w:r>
    </w:p>
    <w:p>
      <w:pPr>
        <w:spacing w:after="40" w:line="269" w:lineRule="auto"/>
        <w:ind w:firstLine="0"/>
      </w:pPr>
      <w:r>
        <w:rPr>
          <w:rFonts w:ascii="Times New Roman" w:hAnsi="Times New Roman" w:eastAsia="Times New Roman"/>
          <w:b w:val="0"/>
          <w:i w:val="0"/>
          <w:sz w:val="22"/>
        </w:rPr>
        <w:t>38. Điều 38. Quy định về cập nhật phụ lục và biểu mẫu nghiệp vụ</w:t>
      </w:r>
    </w:p>
    <w:p>
      <w:pPr>
        <w:spacing w:after="40" w:line="269" w:lineRule="auto"/>
        <w:ind w:firstLine="0"/>
      </w:pPr>
      <w:r>
        <w:rPr>
          <w:rFonts w:ascii="Times New Roman" w:hAnsi="Times New Roman" w:eastAsia="Times New Roman"/>
          <w:b w:val="0"/>
          <w:i w:val="0"/>
          <w:sz w:val="22"/>
        </w:rPr>
        <w:t>39. Điều 39. Quy định về kiểm soát dữ liệu cá nhân trong hồ sơ</w:t>
      </w:r>
    </w:p>
    <w:p>
      <w:pPr>
        <w:spacing w:after="40" w:line="269" w:lineRule="auto"/>
        <w:ind w:firstLine="0"/>
      </w:pPr>
      <w:r>
        <w:rPr>
          <w:rFonts w:ascii="Times New Roman" w:hAnsi="Times New Roman" w:eastAsia="Times New Roman"/>
          <w:b w:val="0"/>
          <w:i w:val="0"/>
          <w:sz w:val="22"/>
        </w:rPr>
        <w:t>40. Điều 40. Quy định về huấn luyện nhân sự mới và tái huấn luyện</w:t>
      </w:r>
    </w:p>
    <w:p>
      <w:pPr>
        <w:spacing w:after="40" w:line="269" w:lineRule="auto"/>
        <w:ind w:firstLine="0"/>
      </w:pPr>
      <w:r>
        <w:rPr>
          <w:rFonts w:ascii="Times New Roman" w:hAnsi="Times New Roman" w:eastAsia="Times New Roman"/>
          <w:b w:val="0"/>
          <w:i w:val="0"/>
          <w:sz w:val="22"/>
        </w:rPr>
        <w:t>41. Điều 41. Quy định về xử lý xung đột lợi ích</w:t>
      </w:r>
    </w:p>
    <w:p>
      <w:pPr>
        <w:spacing w:after="40" w:line="269" w:lineRule="auto"/>
        <w:ind w:firstLine="0"/>
      </w:pPr>
      <w:r>
        <w:rPr>
          <w:rFonts w:ascii="Times New Roman" w:hAnsi="Times New Roman" w:eastAsia="Times New Roman"/>
          <w:b w:val="0"/>
          <w:i w:val="0"/>
          <w:sz w:val="22"/>
        </w:rPr>
        <w:t>42. Điều 42. Quy định về theo dõi chỉ số tuân thủ</w:t>
      </w:r>
    </w:p>
    <w:p>
      <w:pPr>
        <w:spacing w:after="40" w:line="269" w:lineRule="auto"/>
        <w:ind w:firstLine="0"/>
      </w:pPr>
      <w:r>
        <w:rPr>
          <w:rFonts w:ascii="Times New Roman" w:hAnsi="Times New Roman" w:eastAsia="Times New Roman"/>
          <w:b w:val="0"/>
          <w:i w:val="0"/>
          <w:sz w:val="22"/>
        </w:rPr>
        <w:t>43. Điều 48. Kiểm tra, giám sát</w:t>
      </w:r>
    </w:p>
    <w:p>
      <w:pPr>
        <w:spacing w:after="40" w:line="269" w:lineRule="auto"/>
        <w:ind w:firstLine="0"/>
      </w:pPr>
      <w:r>
        <w:rPr>
          <w:rFonts w:ascii="Times New Roman" w:hAnsi="Times New Roman" w:eastAsia="Times New Roman"/>
          <w:b w:val="0"/>
          <w:i w:val="0"/>
          <w:sz w:val="22"/>
        </w:rPr>
        <w:t>44. Điều 49. Xử lý vi phạm</w:t>
      </w:r>
    </w:p>
    <w:p>
      <w:pPr>
        <w:spacing w:after="40" w:line="269" w:lineRule="auto"/>
        <w:ind w:firstLine="0"/>
      </w:pPr>
      <w:r>
        <w:rPr>
          <w:rFonts w:ascii="Times New Roman" w:hAnsi="Times New Roman" w:eastAsia="Times New Roman"/>
          <w:b w:val="0"/>
          <w:i w:val="0"/>
          <w:sz w:val="22"/>
        </w:rPr>
        <w:t>45. Điều 50. Khiếu nại, phản ánh</w:t>
      </w:r>
    </w:p>
    <w:p>
      <w:r>
        <w:br w:type="page"/>
      </w:r>
    </w:p>
    <w:p>
      <w:pPr>
        <w:spacing w:after="120" w:line="269" w:lineRule="auto"/>
        <w:jc w:val="center"/>
      </w:pPr>
      <w:r>
        <w:rPr>
          <w:rFonts w:ascii="Times New Roman" w:hAnsi="Times New Roman" w:eastAsia="Times New Roman"/>
          <w:b/>
          <w:i w:val="0"/>
          <w:sz w:val="32"/>
        </w:rPr>
        <w:t>QUY CHẾ</w:t>
      </w:r>
    </w:p>
    <w:p>
      <w:pPr>
        <w:spacing w:after="120" w:line="269" w:lineRule="auto"/>
        <w:jc w:val="center"/>
      </w:pPr>
      <w:r>
        <w:rPr>
          <w:rFonts w:ascii="Times New Roman" w:hAnsi="Times New Roman" w:eastAsia="Times New Roman"/>
          <w:b/>
          <w:i w:val="0"/>
          <w:sz w:val="32"/>
        </w:rPr>
        <w:t>QUY CHẾ CÔNG TÁC PHÍ, ĐI CÔNG TÁC, TẠM ỨNG VÀ HOÀN ỨNG CHI PHÍ</w:t>
      </w:r>
    </w:p>
    <w:p>
      <w:r>
        <w:br w:type="page"/>
      </w:r>
    </w:p>
    <w:p>
      <w:pPr>
        <w:spacing w:after="100" w:line="269" w:lineRule="auto"/>
        <w:jc w:val="center"/>
      </w:pPr>
      <w:r>
        <w:rPr>
          <w:rFonts w:ascii="Times New Roman" w:hAnsi="Times New Roman" w:eastAsia="Times New Roman"/>
          <w:b/>
          <w:i w:val="0"/>
          <w:sz w:val="26"/>
        </w:rPr>
        <w:t>CHƯƠNG I. NHỮNG QUY ĐỊNH CHUNG</w:t>
      </w:r>
    </w:p>
    <w:p>
      <w:pPr>
        <w:spacing w:after="120" w:line="269" w:lineRule="auto"/>
      </w:pPr>
      <w:r>
        <w:rPr>
          <w:rFonts w:ascii="Times New Roman" w:hAnsi="Times New Roman" w:eastAsia="Times New Roman"/>
          <w:b/>
          <w:i w:val="0"/>
          <w:sz w:val="26"/>
        </w:rPr>
        <w:t>Điều 1. Phạm vi điều chỉnh</w:t>
      </w:r>
    </w:p>
    <w:p>
      <w:pPr>
        <w:spacing w:after="100" w:line="269" w:lineRule="auto"/>
        <w:ind w:firstLine="0"/>
      </w:pPr>
      <w:r>
        <w:rPr>
          <w:rFonts w:ascii="Times New Roman" w:hAnsi="Times New Roman" w:eastAsia="Times New Roman"/>
          <w:b w:val="0"/>
          <w:i w:val="0"/>
          <w:sz w:val="24"/>
        </w:rPr>
        <w:t>1. Văn bản này quy định nguyên tắc, trình tự, thẩm quyền, trách nhiệm và hồ sơ áp dụng đối với công tác và chi phí công tác.</w:t>
      </w:r>
    </w:p>
    <w:p>
      <w:pPr>
        <w:spacing w:after="100" w:line="269" w:lineRule="auto"/>
        <w:ind w:firstLine="0"/>
      </w:pPr>
      <w:r>
        <w:rPr>
          <w:rFonts w:ascii="Times New Roman" w:hAnsi="Times New Roman" w:eastAsia="Times New Roman"/>
          <w:b w:val="0"/>
          <w:i w:val="0"/>
          <w:sz w:val="24"/>
        </w:rPr>
        <w:t>2. Quy định được áp dụng thống nhất tại trụ sở chính, văn phòng, kho, nhà máy, địa điểm công tác và các hệ thống do Công ty quản lý.</w:t>
      </w:r>
    </w:p>
    <w:p>
      <w:pPr>
        <w:spacing w:after="100" w:line="269" w:lineRule="auto"/>
        <w:ind w:firstLine="0"/>
      </w:pPr>
      <w:r>
        <w:rPr>
          <w:rFonts w:ascii="Times New Roman" w:hAnsi="Times New Roman" w:eastAsia="Times New Roman"/>
          <w:b w:val="0"/>
          <w:i w:val="0"/>
          <w:sz w:val="24"/>
        </w:rPr>
        <w:t>3. Vấn đề chưa được quy định hoặc chưa rõ được xử lý theo pháp luật, Nội quy lao động, Quy chế tài chính và quyết định của cấp có thẩm quyền.</w:t>
      </w:r>
    </w:p>
    <w:p>
      <w:pPr>
        <w:spacing w:after="100" w:line="269" w:lineRule="auto"/>
        <w:ind w:firstLine="0"/>
      </w:pPr>
      <w:r>
        <w:rPr>
          <w:rFonts w:ascii="Times New Roman" w:hAnsi="Times New Roman" w:eastAsia="Times New Roman"/>
          <w:b w:val="0"/>
          <w:i w:val="0"/>
          <w:sz w:val="24"/>
        </w:rPr>
        <w:t>4. Trường hợp có quy định khác có lợi hơn cho người lao động và không trái pháp luật thì ưu tiên áp dụng quy định có lợi hơn.</w:t>
      </w:r>
    </w:p>
    <w:p>
      <w:r>
        <w:br w:type="page"/>
      </w:r>
    </w:p>
    <w:p>
      <w:pPr>
        <w:spacing w:after="120" w:line="269" w:lineRule="auto"/>
      </w:pPr>
      <w:r>
        <w:rPr>
          <w:rFonts w:ascii="Times New Roman" w:hAnsi="Times New Roman" w:eastAsia="Times New Roman"/>
          <w:b/>
          <w:i w:val="0"/>
          <w:sz w:val="26"/>
        </w:rPr>
        <w:t>Điều 2. Đối tượng áp dụng</w:t>
      </w:r>
    </w:p>
    <w:p>
      <w:pPr>
        <w:spacing w:after="100" w:line="269" w:lineRule="auto"/>
        <w:ind w:firstLine="0"/>
      </w:pPr>
      <w:r>
        <w:rPr>
          <w:rFonts w:ascii="Times New Roman" w:hAnsi="Times New Roman" w:eastAsia="Times New Roman"/>
          <w:b w:val="0"/>
          <w:i w:val="0"/>
          <w:sz w:val="24"/>
        </w:rPr>
        <w:t>1. Đối tượng áp dụng gồm người lao động, nhân sự thử việc, học việc, thực tập sinh, cộng tác viên, nhà thầu, khách và đối tác làm việc trong phạm vi Công ty quản lý.</w:t>
      </w:r>
    </w:p>
    <w:p>
      <w:pPr>
        <w:spacing w:after="100" w:line="269" w:lineRule="auto"/>
        <w:ind w:firstLine="0"/>
      </w:pPr>
      <w:r>
        <w:rPr>
          <w:rFonts w:ascii="Times New Roman" w:hAnsi="Times New Roman" w:eastAsia="Times New Roman"/>
          <w:b w:val="0"/>
          <w:i w:val="0"/>
          <w:sz w:val="24"/>
        </w:rPr>
        <w:t>2. Trưởng đơn vị có trách nhiệm phổ biến văn bản cho nhân sự thuộc quyền quản lý và bảo đảm việc áp dụng đúng trong thực tế.</w:t>
      </w:r>
    </w:p>
    <w:p>
      <w:pPr>
        <w:spacing w:after="100" w:line="269" w:lineRule="auto"/>
        <w:ind w:firstLine="0"/>
      </w:pPr>
      <w:r>
        <w:rPr>
          <w:rFonts w:ascii="Times New Roman" w:hAnsi="Times New Roman" w:eastAsia="Times New Roman"/>
          <w:b w:val="0"/>
          <w:i w:val="0"/>
          <w:sz w:val="24"/>
        </w:rPr>
        <w:t>3. Người lao động xác nhận đã đọc và hiểu văn bản được xem là đã cam kết tuân thủ các nội dung liên quan đến vị trí công việc.</w:t>
      </w:r>
    </w:p>
    <w:p>
      <w:pPr>
        <w:spacing w:after="100" w:line="269" w:lineRule="auto"/>
        <w:ind w:firstLine="0"/>
      </w:pPr>
      <w:r>
        <w:rPr>
          <w:rFonts w:ascii="Times New Roman" w:hAnsi="Times New Roman" w:eastAsia="Times New Roman"/>
          <w:b w:val="0"/>
          <w:i w:val="0"/>
          <w:sz w:val="24"/>
        </w:rPr>
        <w:t>4. Nhà thầu và khách làm việc tại Công ty phải tuân thủ những yêu cầu về an toàn, bảo mật, tài sản và ứng xử được thông báo trước.</w:t>
      </w:r>
    </w:p>
    <w:p>
      <w:r>
        <w:br w:type="page"/>
      </w:r>
    </w:p>
    <w:p>
      <w:pPr>
        <w:spacing w:after="120" w:line="269" w:lineRule="auto"/>
      </w:pPr>
      <w:r>
        <w:rPr>
          <w:rFonts w:ascii="Times New Roman" w:hAnsi="Times New Roman" w:eastAsia="Times New Roman"/>
          <w:b/>
          <w:i w:val="0"/>
          <w:sz w:val="26"/>
        </w:rPr>
        <w:t>Điều 3. Giải thích từ ngữ</w:t>
      </w:r>
    </w:p>
    <w:p>
      <w:pPr>
        <w:spacing w:after="100" w:line="269" w:lineRule="auto"/>
        <w:ind w:firstLine="0"/>
      </w:pPr>
      <w:r>
        <w:rPr>
          <w:rFonts w:ascii="Times New Roman" w:hAnsi="Times New Roman" w:eastAsia="Times New Roman"/>
          <w:b w:val="0"/>
          <w:i w:val="0"/>
          <w:sz w:val="24"/>
        </w:rPr>
        <w:t>1. “Công ty” là CÔNG TY CỔ PHẦN VSF VINSMART FUTURE, bao gồm các địa điểm làm việc và hệ thống trực thuộc.</w:t>
      </w:r>
    </w:p>
    <w:p>
      <w:pPr>
        <w:spacing w:after="100" w:line="269" w:lineRule="auto"/>
        <w:ind w:firstLine="0"/>
      </w:pPr>
      <w:r>
        <w:rPr>
          <w:rFonts w:ascii="Times New Roman" w:hAnsi="Times New Roman" w:eastAsia="Times New Roman"/>
          <w:b w:val="0"/>
          <w:i w:val="0"/>
          <w:sz w:val="24"/>
        </w:rPr>
        <w:t>2. “Người lao động” là cá nhân làm việc cho Công ty theo hợp đồng lao động hoặc thỏa thuận hợp pháp khác.</w:t>
      </w:r>
    </w:p>
    <w:p>
      <w:pPr>
        <w:spacing w:after="100" w:line="269" w:lineRule="auto"/>
        <w:ind w:firstLine="0"/>
      </w:pPr>
      <w:r>
        <w:rPr>
          <w:rFonts w:ascii="Times New Roman" w:hAnsi="Times New Roman" w:eastAsia="Times New Roman"/>
          <w:b w:val="0"/>
          <w:i w:val="0"/>
          <w:sz w:val="24"/>
        </w:rPr>
        <w:t>3. “Quản lý trực tiếp” là cá nhân được giao phân công, giám sát, xác nhận và đánh giá kết quả công việc.</w:t>
      </w:r>
    </w:p>
    <w:p>
      <w:pPr>
        <w:spacing w:after="100" w:line="269" w:lineRule="auto"/>
        <w:ind w:firstLine="0"/>
      </w:pPr>
      <w:r>
        <w:rPr>
          <w:rFonts w:ascii="Times New Roman" w:hAnsi="Times New Roman" w:eastAsia="Times New Roman"/>
          <w:b w:val="0"/>
          <w:i w:val="0"/>
          <w:sz w:val="24"/>
        </w:rPr>
        <w:t>4. “Hồ sơ hợp lệ” là bộ tài liệu có đầy đủ biểu mẫu, chứng từ, phê duyệt, chữ ký hoặc xác nhận điện tử theo đúng thẩm quyền.</w:t>
      </w:r>
    </w:p>
    <w:p>
      <w:r>
        <w:br w:type="page"/>
      </w:r>
    </w:p>
    <w:p>
      <w:pPr>
        <w:spacing w:after="120" w:line="269" w:lineRule="auto"/>
      </w:pPr>
      <w:r>
        <w:rPr>
          <w:rFonts w:ascii="Times New Roman" w:hAnsi="Times New Roman" w:eastAsia="Times New Roman"/>
          <w:b/>
          <w:i w:val="0"/>
          <w:sz w:val="26"/>
        </w:rPr>
        <w:t>Điều 4. Nguyên tắc áp dụng</w:t>
      </w:r>
    </w:p>
    <w:p>
      <w:pPr>
        <w:spacing w:after="100" w:line="269" w:lineRule="auto"/>
        <w:ind w:firstLine="0"/>
      </w:pPr>
      <w:r>
        <w:rPr>
          <w:rFonts w:ascii="Times New Roman" w:hAnsi="Times New Roman" w:eastAsia="Times New Roman"/>
          <w:b w:val="0"/>
          <w:i w:val="0"/>
          <w:sz w:val="24"/>
        </w:rPr>
        <w:t>1. Mọi hoạt động phải tuân thủ pháp luật, minh bạch, đúng thẩm quyền, bảo vệ lợi ích hợp pháp của Công ty và quyền lợi chính đáng của người lao động.</w:t>
      </w:r>
    </w:p>
    <w:p>
      <w:pPr>
        <w:spacing w:after="100" w:line="269" w:lineRule="auto"/>
        <w:ind w:firstLine="0"/>
      </w:pPr>
      <w:r>
        <w:rPr>
          <w:rFonts w:ascii="Times New Roman" w:hAnsi="Times New Roman" w:eastAsia="Times New Roman"/>
          <w:b w:val="0"/>
          <w:i w:val="0"/>
          <w:sz w:val="24"/>
        </w:rPr>
        <w:t>2. Không cá nhân nào được tự ý đặt ngoại lệ, cam kết miệng, bỏ qua bước kiểm soát hoặc hợp thức hóa hồ sơ sau khi sự việc đã phát sinh.</w:t>
      </w:r>
    </w:p>
    <w:p>
      <w:pPr>
        <w:spacing w:after="100" w:line="269" w:lineRule="auto"/>
        <w:ind w:firstLine="0"/>
      </w:pPr>
      <w:r>
        <w:rPr>
          <w:rFonts w:ascii="Times New Roman" w:hAnsi="Times New Roman" w:eastAsia="Times New Roman"/>
          <w:b w:val="0"/>
          <w:i w:val="0"/>
          <w:sz w:val="24"/>
        </w:rPr>
        <w:t>3. Quy trình phải ưu tiên an toàn con người, bảo mật dữ liệu, tiết kiệm chi phí, phòng ngừa rủi ro và khả năng truy vết.</w:t>
      </w:r>
    </w:p>
    <w:p>
      <w:pPr>
        <w:spacing w:after="100" w:line="269" w:lineRule="auto"/>
        <w:ind w:firstLine="0"/>
      </w:pPr>
      <w:r>
        <w:rPr>
          <w:rFonts w:ascii="Times New Roman" w:hAnsi="Times New Roman" w:eastAsia="Times New Roman"/>
          <w:b w:val="0"/>
          <w:i w:val="0"/>
          <w:sz w:val="24"/>
        </w:rPr>
        <w:t>4. Mọi phê duyệt ngoại lệ phải nêu rõ lý do, phạm vi, thời hạn và người chịu trách nhiệm.</w:t>
      </w:r>
    </w:p>
    <w:p>
      <w:r>
        <w:br w:type="page"/>
      </w:r>
    </w:p>
    <w:p>
      <w:pPr>
        <w:spacing w:after="120" w:line="269" w:lineRule="auto"/>
      </w:pPr>
      <w:r>
        <w:rPr>
          <w:rFonts w:ascii="Times New Roman" w:hAnsi="Times New Roman" w:eastAsia="Times New Roman"/>
          <w:b/>
          <w:i w:val="0"/>
          <w:sz w:val="26"/>
        </w:rPr>
        <w:t>Điều 5. Trách nhiệm chung</w:t>
      </w:r>
    </w:p>
    <w:p>
      <w:pPr>
        <w:spacing w:after="100" w:line="269" w:lineRule="auto"/>
        <w:ind w:firstLine="0"/>
      </w:pPr>
      <w:r>
        <w:rPr>
          <w:rFonts w:ascii="Times New Roman" w:hAnsi="Times New Roman" w:eastAsia="Times New Roman"/>
          <w:b w:val="0"/>
          <w:i w:val="0"/>
          <w:sz w:val="24"/>
        </w:rPr>
        <w:t>1. Ban Tổng Giám đốc phê duyệt chính sách, xem xét ngoại lệ trọng yếu và chỉ đạo khắc phục rủi ro lớn.</w:t>
      </w:r>
    </w:p>
    <w:p>
      <w:pPr>
        <w:spacing w:after="100" w:line="269" w:lineRule="auto"/>
        <w:ind w:firstLine="0"/>
      </w:pPr>
      <w:r>
        <w:rPr>
          <w:rFonts w:ascii="Times New Roman" w:hAnsi="Times New Roman" w:eastAsia="Times New Roman"/>
          <w:b w:val="0"/>
          <w:i w:val="0"/>
          <w:sz w:val="24"/>
        </w:rPr>
        <w:t>2. Đơn vị chủ trì ban hành hướng dẫn chi tiết, tiếp nhận hồ sơ, kiểm tra tính hợp lệ, lưu trữ chứng từ và báo cáo định kỳ.</w:t>
      </w:r>
    </w:p>
    <w:p>
      <w:pPr>
        <w:spacing w:after="100" w:line="269" w:lineRule="auto"/>
        <w:ind w:firstLine="0"/>
      </w:pPr>
      <w:r>
        <w:rPr>
          <w:rFonts w:ascii="Times New Roman" w:hAnsi="Times New Roman" w:eastAsia="Times New Roman"/>
          <w:b w:val="0"/>
          <w:i w:val="0"/>
          <w:sz w:val="24"/>
        </w:rPr>
        <w:t>3. Trưởng phòng ban giám sát việc tuân thủ, xác nhận thông tin phát sinh và phối hợp xử lý vi phạm.</w:t>
      </w:r>
    </w:p>
    <w:p>
      <w:pPr>
        <w:spacing w:after="100" w:line="269" w:lineRule="auto"/>
        <w:ind w:firstLine="0"/>
      </w:pPr>
      <w:r>
        <w:rPr>
          <w:rFonts w:ascii="Times New Roman" w:hAnsi="Times New Roman" w:eastAsia="Times New Roman"/>
          <w:b w:val="0"/>
          <w:i w:val="0"/>
          <w:sz w:val="24"/>
        </w:rPr>
        <w:t>4. Người lao động khai báo trung thực, nộp hồ sơ đúng hạn, bảo quản tài sản/dữ liệu và báo cáo ngay khi phát hiện sự cố.</w:t>
      </w:r>
    </w:p>
    <w:p>
      <w:r>
        <w:br w:type="page"/>
      </w:r>
    </w:p>
    <w:p>
      <w:pPr>
        <w:spacing w:after="120" w:line="269" w:lineRule="auto"/>
      </w:pPr>
      <w:r>
        <w:rPr>
          <w:rFonts w:ascii="Times New Roman" w:hAnsi="Times New Roman" w:eastAsia="Times New Roman"/>
          <w:b/>
          <w:i w:val="0"/>
          <w:sz w:val="26"/>
        </w:rPr>
        <w:t>Điều 6. Phân cấp thẩm quyền</w:t>
      </w:r>
    </w:p>
    <w:p>
      <w:pPr>
        <w:spacing w:after="100" w:line="269" w:lineRule="auto"/>
        <w:ind w:firstLine="0"/>
      </w:pPr>
      <w:r>
        <w:rPr>
          <w:rFonts w:ascii="Times New Roman" w:hAnsi="Times New Roman" w:eastAsia="Times New Roman"/>
          <w:b w:val="0"/>
          <w:i w:val="0"/>
          <w:sz w:val="24"/>
        </w:rPr>
        <w:t>1. Đề nghị thông thường trong phạm vi ngân sách hoặc định mức được phê duyệt bởi quản lý trực tiếp và đơn vị chủ trì.</w:t>
      </w:r>
    </w:p>
    <w:p>
      <w:pPr>
        <w:spacing w:after="100" w:line="269" w:lineRule="auto"/>
        <w:ind w:firstLine="0"/>
      </w:pPr>
      <w:r>
        <w:rPr>
          <w:rFonts w:ascii="Times New Roman" w:hAnsi="Times New Roman" w:eastAsia="Times New Roman"/>
          <w:b w:val="0"/>
          <w:i w:val="0"/>
          <w:sz w:val="24"/>
        </w:rPr>
        <w:t>2. Trường hợp vượt định mức, ảnh hưởng pháp lý, an toàn, dữ liệu, tài sản có giá trị lớn hoặc thương hiệu phải trình cấp cao hơn theo ma trận thẩm quyền.</w:t>
      </w:r>
    </w:p>
    <w:p>
      <w:pPr>
        <w:spacing w:after="100" w:line="269" w:lineRule="auto"/>
        <w:ind w:firstLine="0"/>
      </w:pPr>
      <w:r>
        <w:rPr>
          <w:rFonts w:ascii="Times New Roman" w:hAnsi="Times New Roman" w:eastAsia="Times New Roman"/>
          <w:b w:val="0"/>
          <w:i w:val="0"/>
          <w:sz w:val="24"/>
        </w:rPr>
        <w:t>3. Ủy quyền phê duyệt phải bằng văn bản, ghi rõ phạm vi, thời hạn, giới hạn giá trị và trách nhiệm của người được ủy quyền.</w:t>
      </w:r>
    </w:p>
    <w:p>
      <w:pPr>
        <w:spacing w:after="100" w:line="269" w:lineRule="auto"/>
        <w:ind w:firstLine="0"/>
      </w:pPr>
      <w:r>
        <w:rPr>
          <w:rFonts w:ascii="Times New Roman" w:hAnsi="Times New Roman" w:eastAsia="Times New Roman"/>
          <w:b w:val="0"/>
          <w:i w:val="0"/>
          <w:sz w:val="24"/>
        </w:rPr>
        <w:t>4. Phê duyệt qua email, hệ thống nội bộ hoặc chữ ký điện tử có giá trị nếu thể hiện rõ nội dung chấp thuận và tài khoản được Công ty cấp.</w:t>
      </w:r>
    </w:p>
    <w:p>
      <w:r>
        <w:br w:type="page"/>
      </w:r>
    </w:p>
    <w:p>
      <w:pPr>
        <w:spacing w:after="120" w:line="269" w:lineRule="auto"/>
      </w:pPr>
      <w:r>
        <w:rPr>
          <w:rFonts w:ascii="Times New Roman" w:hAnsi="Times New Roman" w:eastAsia="Times New Roman"/>
          <w:b/>
          <w:i w:val="0"/>
          <w:sz w:val="26"/>
        </w:rPr>
        <w:t>Điều 7. Hồ sơ, chứng từ và lưu trữ</w:t>
      </w:r>
    </w:p>
    <w:p>
      <w:pPr>
        <w:spacing w:after="100" w:line="269" w:lineRule="auto"/>
        <w:ind w:firstLine="0"/>
      </w:pPr>
      <w:r>
        <w:rPr>
          <w:rFonts w:ascii="Times New Roman" w:hAnsi="Times New Roman" w:eastAsia="Times New Roman"/>
          <w:b w:val="0"/>
          <w:i w:val="0"/>
          <w:sz w:val="24"/>
        </w:rPr>
        <w:t>1. Mỗi nghiệp vụ phát sinh phải có đề nghị, căn cứ thực hiện, phê duyệt, chứng từ hoàn thành và biên bản xác nhận nếu có bàn giao hoặc xử lý vi phạm.</w:t>
      </w:r>
    </w:p>
    <w:p>
      <w:pPr>
        <w:spacing w:after="100" w:line="269" w:lineRule="auto"/>
        <w:ind w:firstLine="0"/>
      </w:pPr>
      <w:r>
        <w:rPr>
          <w:rFonts w:ascii="Times New Roman" w:hAnsi="Times New Roman" w:eastAsia="Times New Roman"/>
          <w:b w:val="0"/>
          <w:i w:val="0"/>
          <w:sz w:val="24"/>
        </w:rPr>
        <w:t>2. Hồ sơ điện tử được lưu trên DMS, ERP, HRM, ITSM hoặc thư mục dùng chung đã phân quyền; không lưu duy nhất trên thiết bị cá nhân.</w:t>
      </w:r>
    </w:p>
    <w:p>
      <w:pPr>
        <w:spacing w:after="100" w:line="269" w:lineRule="auto"/>
        <w:ind w:firstLine="0"/>
      </w:pPr>
      <w:r>
        <w:rPr>
          <w:rFonts w:ascii="Times New Roman" w:hAnsi="Times New Roman" w:eastAsia="Times New Roman"/>
          <w:b w:val="0"/>
          <w:i w:val="0"/>
          <w:sz w:val="24"/>
        </w:rPr>
        <w:t>3. Thời hạn lưu tối thiểu là 05 năm đối với hồ sơ vận hành và 10 năm đối với hồ sơ tài chính - nhân sự, trừ khi pháp luật yêu cầu lâu hơn.</w:t>
      </w:r>
    </w:p>
    <w:p>
      <w:pPr>
        <w:spacing w:after="100" w:line="269" w:lineRule="auto"/>
        <w:ind w:firstLine="0"/>
      </w:pPr>
      <w:r>
        <w:rPr>
          <w:rFonts w:ascii="Times New Roman" w:hAnsi="Times New Roman" w:eastAsia="Times New Roman"/>
          <w:b w:val="0"/>
          <w:i w:val="0"/>
          <w:sz w:val="24"/>
        </w:rPr>
        <w:t>4. Việc tiêu hủy hồ sơ hết hạn phải có danh mục, biên bản và phê duyệt của đơn vị chủ trì.</w:t>
      </w:r>
    </w:p>
    <w:p>
      <w:r>
        <w:br w:type="page"/>
      </w:r>
    </w:p>
    <w:p>
      <w:pPr>
        <w:spacing w:after="100" w:line="269" w:lineRule="auto"/>
        <w:jc w:val="center"/>
      </w:pPr>
      <w:r>
        <w:rPr>
          <w:rFonts w:ascii="Times New Roman" w:hAnsi="Times New Roman" w:eastAsia="Times New Roman"/>
          <w:b/>
          <w:i w:val="0"/>
          <w:sz w:val="26"/>
        </w:rPr>
        <w:t>CHƯƠNG II. QUY ĐỊNH CỤ THỂ</w:t>
      </w:r>
    </w:p>
    <w:p>
      <w:pPr>
        <w:spacing w:after="120" w:line="269" w:lineRule="auto"/>
      </w:pPr>
      <w:r>
        <w:rPr>
          <w:rFonts w:ascii="Times New Roman" w:hAnsi="Times New Roman" w:eastAsia="Times New Roman"/>
          <w:b/>
          <w:i w:val="0"/>
          <w:sz w:val="26"/>
        </w:rPr>
        <w:t>Điều 8. Quy định về Quy trình phê duyệt đi công tác trong nước</w:t>
      </w:r>
    </w:p>
    <w:p>
      <w:pPr>
        <w:spacing w:after="100" w:line="269" w:lineRule="auto"/>
        <w:ind w:firstLine="0"/>
      </w:pPr>
      <w:r>
        <w:rPr>
          <w:rFonts w:ascii="Times New Roman" w:hAnsi="Times New Roman" w:eastAsia="Times New Roman"/>
          <w:b w:val="0"/>
          <w:i w:val="0"/>
          <w:sz w:val="24"/>
        </w:rPr>
        <w:t>1. Quy trình phê duyệt đi công tác trong nước là nội dung bắt buộc trong phạm vi công tác và chi phí công tác,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Mỗi chuyến công tác phải có mục tiêu, lịch trình, dự toán chi phí, phê duyệt trước khi phát sinh chi phí và báo cáo kết quả sau khi hoàn thành.</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phê duyệt đi công tác trong nước,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phê duyệt đi công tác trong nước.</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9. Quy trình thực hiện Quy trình phê duyệt đi công tác trong nước</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phê duyệt đi công tác trong nước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phê duyệt đi công tác trong nước.</w:t>
      </w:r>
    </w:p>
    <w:p>
      <w:pPr>
        <w:spacing w:after="100" w:line="269" w:lineRule="auto"/>
        <w:ind w:firstLine="0"/>
      </w:pPr>
      <w:r>
        <w:rPr>
          <w:rFonts w:ascii="Times New Roman" w:hAnsi="Times New Roman" w:eastAsia="Times New Roman"/>
          <w:b w:val="0"/>
          <w:i w:val="0"/>
          <w:sz w:val="24"/>
        </w:rPr>
        <w:t>3. Bước 3: Phòng Tài chính - Kế toán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10. Quy định về Quy trình phê duyệt đi công tác ngoài nước</w:t>
      </w:r>
    </w:p>
    <w:p>
      <w:pPr>
        <w:spacing w:after="100" w:line="269" w:lineRule="auto"/>
        <w:ind w:firstLine="0"/>
      </w:pPr>
      <w:r>
        <w:rPr>
          <w:rFonts w:ascii="Times New Roman" w:hAnsi="Times New Roman" w:eastAsia="Times New Roman"/>
          <w:b w:val="0"/>
          <w:i w:val="0"/>
          <w:sz w:val="24"/>
        </w:rPr>
        <w:t>1. Quy trình phê duyệt đi công tác ngoài nước là nội dung bắt buộc trong phạm vi công tác và chi phí công tác,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Mỗi chuyến công tác phải có mục tiêu, lịch trình, dự toán chi phí, phê duyệt trước khi phát sinh chi phí và báo cáo kết quả sau khi hoàn thành.</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phê duyệt đi công tác ngoài nước,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phê duyệt đi công tác ngoài nước.</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11. Quy trình thực hiện Quy trình phê duyệt đi công tác ngoài nước</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phê duyệt đi công tác ngoài nước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phê duyệt đi công tác ngoài nước.</w:t>
      </w:r>
    </w:p>
    <w:p>
      <w:pPr>
        <w:spacing w:after="100" w:line="269" w:lineRule="auto"/>
        <w:ind w:firstLine="0"/>
      </w:pPr>
      <w:r>
        <w:rPr>
          <w:rFonts w:ascii="Times New Roman" w:hAnsi="Times New Roman" w:eastAsia="Times New Roman"/>
          <w:b w:val="0"/>
          <w:i w:val="0"/>
          <w:sz w:val="24"/>
        </w:rPr>
        <w:t>3. Bước 3: Phòng Tài chính - Kế toán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12. Quy định về Quy định định mức công tác phí gồm khách sạn, máy bay, ăn uống</w:t>
      </w:r>
    </w:p>
    <w:p>
      <w:pPr>
        <w:spacing w:after="100" w:line="269" w:lineRule="auto"/>
        <w:ind w:firstLine="0"/>
      </w:pPr>
      <w:r>
        <w:rPr>
          <w:rFonts w:ascii="Times New Roman" w:hAnsi="Times New Roman" w:eastAsia="Times New Roman"/>
          <w:b w:val="0"/>
          <w:i w:val="0"/>
          <w:sz w:val="24"/>
        </w:rPr>
        <w:t>1. Quy định định mức công tác phí gồm khách sạn, máy bay, ăn uống là nội dung bắt buộc trong phạm vi công tác và chi phí công tác,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Mỗi chuyến công tác phải có mục tiêu, lịch trình, dự toán chi phí, phê duyệt trước khi phát sinh chi phí và báo cáo kết quả sau khi hoàn thành.</w:t>
      </w:r>
    </w:p>
    <w:p>
      <w:pPr>
        <w:spacing w:after="100" w:line="269" w:lineRule="auto"/>
        <w:ind w:firstLine="0"/>
      </w:pPr>
      <w:r>
        <w:rPr>
          <w:rFonts w:ascii="Times New Roman" w:hAnsi="Times New Roman" w:eastAsia="Times New Roman"/>
          <w:b w:val="0"/>
          <w:i w:val="0"/>
          <w:sz w:val="24"/>
        </w:rPr>
        <w:t>3. Người lao động liên quan phải nắm rõ yêu cầu về quy định định mức công tác phí gồm khách sạn, máy bay, ăn uống,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định định mức công tác phí gồm khách sạn, máy bay, ăn uống.</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13. Quy trình thực hiện Quy định định mức công tác phí gồm khách sạn, máy bay, ăn uống</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định định mức công tác phí gồm khách sạn, máy bay, ăn uống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định định mức công tác phí gồm khách sạn, máy bay, ăn uống.</w:t>
      </w:r>
    </w:p>
    <w:p>
      <w:pPr>
        <w:spacing w:after="100" w:line="269" w:lineRule="auto"/>
        <w:ind w:firstLine="0"/>
      </w:pPr>
      <w:r>
        <w:rPr>
          <w:rFonts w:ascii="Times New Roman" w:hAnsi="Times New Roman" w:eastAsia="Times New Roman"/>
          <w:b w:val="0"/>
          <w:i w:val="0"/>
          <w:sz w:val="24"/>
        </w:rPr>
        <w:t>3. Bước 3: Phòng Tài chính - Kế toán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14. Quy định về Quy trình tạm ứng chi phí công tác</w:t>
      </w:r>
    </w:p>
    <w:p>
      <w:pPr>
        <w:spacing w:after="100" w:line="269" w:lineRule="auto"/>
        <w:ind w:firstLine="0"/>
      </w:pPr>
      <w:r>
        <w:rPr>
          <w:rFonts w:ascii="Times New Roman" w:hAnsi="Times New Roman" w:eastAsia="Times New Roman"/>
          <w:b w:val="0"/>
          <w:i w:val="0"/>
          <w:sz w:val="24"/>
        </w:rPr>
        <w:t>1. Quy trình tạm ứng chi phí công tác là nội dung bắt buộc trong phạm vi công tác và chi phí công tác,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Mỗi chuyến công tác phải có mục tiêu, lịch trình, dự toán chi phí, phê duyệt trước khi phát sinh chi phí và báo cáo kết quả sau khi hoàn thành.</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tạm ứng chi phí công tác,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tạm ứng chi phí công tác.</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15. Quy trình thực hiện Quy trình tạm ứng chi phí công tác</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tạm ứng chi phí công tác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tạm ứng chi phí công tác.</w:t>
      </w:r>
    </w:p>
    <w:p>
      <w:pPr>
        <w:spacing w:after="100" w:line="269" w:lineRule="auto"/>
        <w:ind w:firstLine="0"/>
      </w:pPr>
      <w:r>
        <w:rPr>
          <w:rFonts w:ascii="Times New Roman" w:hAnsi="Times New Roman" w:eastAsia="Times New Roman"/>
          <w:b w:val="0"/>
          <w:i w:val="0"/>
          <w:sz w:val="24"/>
        </w:rPr>
        <w:t>3. Bước 3: Phòng Tài chính - Kế toán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16. Quy định về Quy trình hoàn ứng chi phí công tác</w:t>
      </w:r>
    </w:p>
    <w:p>
      <w:pPr>
        <w:spacing w:after="100" w:line="269" w:lineRule="auto"/>
        <w:ind w:firstLine="0"/>
      </w:pPr>
      <w:r>
        <w:rPr>
          <w:rFonts w:ascii="Times New Roman" w:hAnsi="Times New Roman" w:eastAsia="Times New Roman"/>
          <w:b w:val="0"/>
          <w:i w:val="0"/>
          <w:sz w:val="24"/>
        </w:rPr>
        <w:t>1. Quy trình hoàn ứng chi phí công tác là nội dung bắt buộc trong phạm vi công tác và chi phí công tác,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Mỗi chuyến công tác phải có mục tiêu, lịch trình, dự toán chi phí, phê duyệt trước khi phát sinh chi phí và báo cáo kết quả sau khi hoàn thành.</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hoàn ứng chi phí công tác,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hoàn ứng chi phí công tác.</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17. Quy trình thực hiện Quy trình hoàn ứng chi phí công tác</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hoàn ứng chi phí công tác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hoàn ứng chi phí công tác.</w:t>
      </w:r>
    </w:p>
    <w:p>
      <w:pPr>
        <w:spacing w:after="100" w:line="269" w:lineRule="auto"/>
        <w:ind w:firstLine="0"/>
      </w:pPr>
      <w:r>
        <w:rPr>
          <w:rFonts w:ascii="Times New Roman" w:hAnsi="Times New Roman" w:eastAsia="Times New Roman"/>
          <w:b w:val="0"/>
          <w:i w:val="0"/>
          <w:sz w:val="24"/>
        </w:rPr>
        <w:t>3. Bước 3: Phòng Tài chính - Kế toán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18. Quy định về tiếp nhận yêu cầu và phân loại mức độ ưu tiên</w:t>
      </w:r>
    </w:p>
    <w:p>
      <w:pPr>
        <w:spacing w:after="100" w:line="269" w:lineRule="auto"/>
        <w:ind w:firstLine="0"/>
      </w:pPr>
      <w:r>
        <w:rPr>
          <w:rFonts w:ascii="Times New Roman" w:hAnsi="Times New Roman" w:eastAsia="Times New Roman"/>
          <w:b w:val="0"/>
          <w:i w:val="0"/>
          <w:sz w:val="24"/>
        </w:rPr>
        <w:t>1. Nội dung tiếp nhận yêu cầu và phân loại mức độ ưu tiên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19. Quy định về truyền thông nội bộ và đào tạo tuân thủ</w:t>
      </w:r>
    </w:p>
    <w:p>
      <w:pPr>
        <w:spacing w:after="100" w:line="269" w:lineRule="auto"/>
        <w:ind w:firstLine="0"/>
      </w:pPr>
      <w:r>
        <w:rPr>
          <w:rFonts w:ascii="Times New Roman" w:hAnsi="Times New Roman" w:eastAsia="Times New Roman"/>
          <w:b w:val="0"/>
          <w:i w:val="0"/>
          <w:sz w:val="24"/>
        </w:rPr>
        <w:t>1. Nội dung truyền thông nội bộ và đào tạo tuân thủ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III. QUY TRÌNH, HỒ SƠ VÀ KIỂM SOÁT</w:t>
      </w:r>
    </w:p>
    <w:p>
      <w:pPr>
        <w:spacing w:after="120" w:line="269" w:lineRule="auto"/>
      </w:pPr>
      <w:r>
        <w:rPr>
          <w:rFonts w:ascii="Times New Roman" w:hAnsi="Times New Roman" w:eastAsia="Times New Roman"/>
          <w:b/>
          <w:i w:val="0"/>
          <w:sz w:val="26"/>
        </w:rPr>
        <w:t>Điều 20. Quy định về kiểm tra định kỳ và kiểm tra đột xuất</w:t>
      </w:r>
    </w:p>
    <w:p>
      <w:pPr>
        <w:spacing w:after="100" w:line="269" w:lineRule="auto"/>
        <w:ind w:firstLine="0"/>
      </w:pPr>
      <w:r>
        <w:rPr>
          <w:rFonts w:ascii="Times New Roman" w:hAnsi="Times New Roman" w:eastAsia="Times New Roman"/>
          <w:b w:val="0"/>
          <w:i w:val="0"/>
          <w:sz w:val="24"/>
        </w:rPr>
        <w:t>1. Nội dung kiểm tra định kỳ và kiểm tra đột xuất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21. Quy định về báo cáo tháng/quý cho Ban Tổng Giám đốc</w:t>
      </w:r>
    </w:p>
    <w:p>
      <w:pPr>
        <w:spacing w:after="100" w:line="269" w:lineRule="auto"/>
        <w:ind w:firstLine="0"/>
      </w:pPr>
      <w:r>
        <w:rPr>
          <w:rFonts w:ascii="Times New Roman" w:hAnsi="Times New Roman" w:eastAsia="Times New Roman"/>
          <w:b w:val="0"/>
          <w:i w:val="0"/>
          <w:sz w:val="24"/>
        </w:rPr>
        <w:t>1. Nội dung báo cáo tháng/quý cho Ban Tổng Giám đốc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22. Quy định về bảo mật thông tin và phân quyền truy cập hồ sơ</w:t>
      </w:r>
    </w:p>
    <w:p>
      <w:pPr>
        <w:spacing w:after="100" w:line="269" w:lineRule="auto"/>
        <w:ind w:firstLine="0"/>
      </w:pPr>
      <w:r>
        <w:rPr>
          <w:rFonts w:ascii="Times New Roman" w:hAnsi="Times New Roman" w:eastAsia="Times New Roman"/>
          <w:b w:val="0"/>
          <w:i w:val="0"/>
          <w:sz w:val="24"/>
        </w:rPr>
        <w:t>1. Nội dung bảo mật thông tin và phân quyền truy cập hồ sơ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23. Quy định về phối hợp giữa các phòng ban liên quan</w:t>
      </w:r>
    </w:p>
    <w:p>
      <w:pPr>
        <w:spacing w:after="100" w:line="269" w:lineRule="auto"/>
        <w:ind w:firstLine="0"/>
      </w:pPr>
      <w:r>
        <w:rPr>
          <w:rFonts w:ascii="Times New Roman" w:hAnsi="Times New Roman" w:eastAsia="Times New Roman"/>
          <w:b w:val="0"/>
          <w:i w:val="0"/>
          <w:sz w:val="24"/>
        </w:rPr>
        <w:t>1. Nội dung phối hợp giữa các phòng ban liên quan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24. Quy định về đánh giá rủi ro và biện pháp phòng ngừa</w:t>
      </w:r>
    </w:p>
    <w:p>
      <w:pPr>
        <w:spacing w:after="100" w:line="269" w:lineRule="auto"/>
        <w:ind w:firstLine="0"/>
      </w:pPr>
      <w:r>
        <w:rPr>
          <w:rFonts w:ascii="Times New Roman" w:hAnsi="Times New Roman" w:eastAsia="Times New Roman"/>
          <w:b w:val="0"/>
          <w:i w:val="0"/>
          <w:sz w:val="24"/>
        </w:rPr>
        <w:t>1. Nội dung đánh giá rủi ro và biện pháp phòng ngừa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25. Quy định về phê duyệt ngoại lệ và vượt thẩm quyền</w:t>
      </w:r>
    </w:p>
    <w:p>
      <w:pPr>
        <w:spacing w:after="100" w:line="269" w:lineRule="auto"/>
        <w:ind w:firstLine="0"/>
      </w:pPr>
      <w:r>
        <w:rPr>
          <w:rFonts w:ascii="Times New Roman" w:hAnsi="Times New Roman" w:eastAsia="Times New Roman"/>
          <w:b w:val="0"/>
          <w:i w:val="0"/>
          <w:sz w:val="24"/>
        </w:rPr>
        <w:t>1. Nội dung phê duyệt ngoại lệ và vượt thẩm quyền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26. Quy định về lưu trữ chứng cứ, hình ảnh, log và biên bản</w:t>
      </w:r>
    </w:p>
    <w:p>
      <w:pPr>
        <w:spacing w:after="100" w:line="269" w:lineRule="auto"/>
        <w:ind w:firstLine="0"/>
      </w:pPr>
      <w:r>
        <w:rPr>
          <w:rFonts w:ascii="Times New Roman" w:hAnsi="Times New Roman" w:eastAsia="Times New Roman"/>
          <w:b w:val="0"/>
          <w:i w:val="0"/>
          <w:sz w:val="24"/>
        </w:rPr>
        <w:t>1. Nội dung lưu trữ chứng cứ, hình ảnh, log và biên bản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27. Quy định về nhắc nhở, yêu cầu khắc phục và theo dõi sau khắc phục</w:t>
      </w:r>
    </w:p>
    <w:p>
      <w:pPr>
        <w:spacing w:after="100" w:line="269" w:lineRule="auto"/>
        <w:ind w:firstLine="0"/>
      </w:pPr>
      <w:r>
        <w:rPr>
          <w:rFonts w:ascii="Times New Roman" w:hAnsi="Times New Roman" w:eastAsia="Times New Roman"/>
          <w:b w:val="0"/>
          <w:i w:val="0"/>
          <w:sz w:val="24"/>
        </w:rPr>
        <w:t>1. Nội dung nhắc nhở, yêu cầu khắc phục và theo dõi sau khắc phục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28. Quy định về bồi hoàn thiệt hại thực tế nếu có căn cứ</w:t>
      </w:r>
    </w:p>
    <w:p>
      <w:pPr>
        <w:spacing w:after="100" w:line="269" w:lineRule="auto"/>
        <w:ind w:firstLine="0"/>
      </w:pPr>
      <w:r>
        <w:rPr>
          <w:rFonts w:ascii="Times New Roman" w:hAnsi="Times New Roman" w:eastAsia="Times New Roman"/>
          <w:b w:val="0"/>
          <w:i w:val="0"/>
          <w:sz w:val="24"/>
        </w:rPr>
        <w:t>1. Nội dung bồi hoàn thiệt hại thực tế nếu có căn cứ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29. Quy định về khiếu nại, giải trình và bảo vệ người phản ánh</w:t>
      </w:r>
    </w:p>
    <w:p>
      <w:pPr>
        <w:spacing w:after="100" w:line="269" w:lineRule="auto"/>
        <w:ind w:firstLine="0"/>
      </w:pPr>
      <w:r>
        <w:rPr>
          <w:rFonts w:ascii="Times New Roman" w:hAnsi="Times New Roman" w:eastAsia="Times New Roman"/>
          <w:b w:val="0"/>
          <w:i w:val="0"/>
          <w:sz w:val="24"/>
        </w:rPr>
        <w:t>1. Nội dung khiếu nại, giải trình và bảo vệ người phản ánh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30. Quy định về rà soát định kỳ và cải tiến quy trình</w:t>
      </w:r>
    </w:p>
    <w:p>
      <w:pPr>
        <w:spacing w:after="100" w:line="269" w:lineRule="auto"/>
        <w:ind w:firstLine="0"/>
      </w:pPr>
      <w:r>
        <w:rPr>
          <w:rFonts w:ascii="Times New Roman" w:hAnsi="Times New Roman" w:eastAsia="Times New Roman"/>
          <w:b w:val="0"/>
          <w:i w:val="0"/>
          <w:sz w:val="24"/>
        </w:rPr>
        <w:t>1. Nội dung rà soát định kỳ và cải tiến quy trình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31. Quy định về chuyển tiếp đối với hồ sơ đang xử lý</w:t>
      </w:r>
    </w:p>
    <w:p>
      <w:pPr>
        <w:spacing w:after="100" w:line="269" w:lineRule="auto"/>
        <w:ind w:firstLine="0"/>
      </w:pPr>
      <w:r>
        <w:rPr>
          <w:rFonts w:ascii="Times New Roman" w:hAnsi="Times New Roman" w:eastAsia="Times New Roman"/>
          <w:b w:val="0"/>
          <w:i w:val="0"/>
          <w:sz w:val="24"/>
        </w:rPr>
        <w:t>1. Nội dung chuyển tiếp đối với hồ sơ đang xử lý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32. Quy định về hành vi không được thực hiện</w:t>
      </w:r>
    </w:p>
    <w:p>
      <w:pPr>
        <w:spacing w:after="100" w:line="269" w:lineRule="auto"/>
        <w:ind w:firstLine="0"/>
      </w:pPr>
      <w:r>
        <w:rPr>
          <w:rFonts w:ascii="Times New Roman" w:hAnsi="Times New Roman" w:eastAsia="Times New Roman"/>
          <w:b w:val="0"/>
          <w:i w:val="0"/>
          <w:sz w:val="24"/>
        </w:rPr>
        <w:t>1. Nội dung hành vi không được thực hiện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33. Quy định về số hóa biểu mẫu và sử dụng chữ ký điện tử</w:t>
      </w:r>
    </w:p>
    <w:p>
      <w:pPr>
        <w:spacing w:after="100" w:line="269" w:lineRule="auto"/>
        <w:ind w:firstLine="0"/>
      </w:pPr>
      <w:r>
        <w:rPr>
          <w:rFonts w:ascii="Times New Roman" w:hAnsi="Times New Roman" w:eastAsia="Times New Roman"/>
          <w:b w:val="0"/>
          <w:i w:val="0"/>
          <w:sz w:val="24"/>
        </w:rPr>
        <w:t>1. Nội dung số hóa biểu mẫu và sử dụng chữ ký điện tử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34. Quy định về đánh giá hiệu quả thực hiện quy định</w:t>
      </w:r>
    </w:p>
    <w:p>
      <w:pPr>
        <w:spacing w:after="100" w:line="269" w:lineRule="auto"/>
        <w:ind w:firstLine="0"/>
      </w:pPr>
      <w:r>
        <w:rPr>
          <w:rFonts w:ascii="Times New Roman" w:hAnsi="Times New Roman" w:eastAsia="Times New Roman"/>
          <w:b w:val="0"/>
          <w:i w:val="0"/>
          <w:sz w:val="24"/>
        </w:rPr>
        <w:t>1. Nội dung đánh giá hiệu quả thực hiện quy định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35. Quy định về kiểm toán nội bộ và trách nhiệm giải trình</w:t>
      </w:r>
    </w:p>
    <w:p>
      <w:pPr>
        <w:spacing w:after="100" w:line="269" w:lineRule="auto"/>
        <w:ind w:firstLine="0"/>
      </w:pPr>
      <w:r>
        <w:rPr>
          <w:rFonts w:ascii="Times New Roman" w:hAnsi="Times New Roman" w:eastAsia="Times New Roman"/>
          <w:b w:val="0"/>
          <w:i w:val="0"/>
          <w:sz w:val="24"/>
        </w:rPr>
        <w:t>1. Nội dung kiểm toán nội bộ và trách nhiệm giải trình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IV. BÁO CÁO, KIỂM TRA VÀ XỬ LÝ</w:t>
      </w:r>
    </w:p>
    <w:p>
      <w:pPr>
        <w:spacing w:after="120" w:line="269" w:lineRule="auto"/>
      </w:pPr>
      <w:r>
        <w:rPr>
          <w:rFonts w:ascii="Times New Roman" w:hAnsi="Times New Roman" w:eastAsia="Times New Roman"/>
          <w:b/>
          <w:i w:val="0"/>
          <w:sz w:val="26"/>
        </w:rPr>
        <w:t>Điều 36. Quy định về xử lý trường hợp bất khả kháng</w:t>
      </w:r>
    </w:p>
    <w:p>
      <w:pPr>
        <w:spacing w:after="100" w:line="269" w:lineRule="auto"/>
        <w:ind w:firstLine="0"/>
      </w:pPr>
      <w:r>
        <w:rPr>
          <w:rFonts w:ascii="Times New Roman" w:hAnsi="Times New Roman" w:eastAsia="Times New Roman"/>
          <w:b w:val="0"/>
          <w:i w:val="0"/>
          <w:sz w:val="24"/>
        </w:rPr>
        <w:t>1. Nội dung xử lý trường hợp bất khả kháng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37. Quy định về phối hợp với nhà thầu, khách hàng và bên thứ ba</w:t>
      </w:r>
    </w:p>
    <w:p>
      <w:pPr>
        <w:spacing w:after="100" w:line="269" w:lineRule="auto"/>
        <w:ind w:firstLine="0"/>
      </w:pPr>
      <w:r>
        <w:rPr>
          <w:rFonts w:ascii="Times New Roman" w:hAnsi="Times New Roman" w:eastAsia="Times New Roman"/>
          <w:b w:val="0"/>
          <w:i w:val="0"/>
          <w:sz w:val="24"/>
        </w:rPr>
        <w:t>1. Nội dung phối hợp với nhà thầu, khách hàng và bên thứ ba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38. Quy định về cập nhật phụ lục và biểu mẫu nghiệp vụ</w:t>
      </w:r>
    </w:p>
    <w:p>
      <w:pPr>
        <w:spacing w:after="100" w:line="269" w:lineRule="auto"/>
        <w:ind w:firstLine="0"/>
      </w:pPr>
      <w:r>
        <w:rPr>
          <w:rFonts w:ascii="Times New Roman" w:hAnsi="Times New Roman" w:eastAsia="Times New Roman"/>
          <w:b w:val="0"/>
          <w:i w:val="0"/>
          <w:sz w:val="24"/>
        </w:rPr>
        <w:t>1. Nội dung cập nhật phụ lục và biểu mẫu nghiệp vụ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39. Quy định về kiểm soát dữ liệu cá nhân trong hồ sơ</w:t>
      </w:r>
    </w:p>
    <w:p>
      <w:pPr>
        <w:spacing w:after="100" w:line="269" w:lineRule="auto"/>
        <w:ind w:firstLine="0"/>
      </w:pPr>
      <w:r>
        <w:rPr>
          <w:rFonts w:ascii="Times New Roman" w:hAnsi="Times New Roman" w:eastAsia="Times New Roman"/>
          <w:b w:val="0"/>
          <w:i w:val="0"/>
          <w:sz w:val="24"/>
        </w:rPr>
        <w:t>1. Nội dung kiểm soát dữ liệu cá nhân trong hồ sơ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40. Quy định về huấn luyện nhân sự mới và tái huấn luyện</w:t>
      </w:r>
    </w:p>
    <w:p>
      <w:pPr>
        <w:spacing w:after="100" w:line="269" w:lineRule="auto"/>
        <w:ind w:firstLine="0"/>
      </w:pPr>
      <w:r>
        <w:rPr>
          <w:rFonts w:ascii="Times New Roman" w:hAnsi="Times New Roman" w:eastAsia="Times New Roman"/>
          <w:b w:val="0"/>
          <w:i w:val="0"/>
          <w:sz w:val="24"/>
        </w:rPr>
        <w:t>1. Nội dung huấn luyện nhân sự mới và tái huấn luyện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41. Quy định về xử lý xung đột lợi ích</w:t>
      </w:r>
    </w:p>
    <w:p>
      <w:pPr>
        <w:spacing w:after="100" w:line="269" w:lineRule="auto"/>
        <w:ind w:firstLine="0"/>
      </w:pPr>
      <w:r>
        <w:rPr>
          <w:rFonts w:ascii="Times New Roman" w:hAnsi="Times New Roman" w:eastAsia="Times New Roman"/>
          <w:b w:val="0"/>
          <w:i w:val="0"/>
          <w:sz w:val="24"/>
        </w:rPr>
        <w:t>1. Nội dung xử lý xung đột lợi ích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42. Quy định về theo dõi chỉ số tuân thủ</w:t>
      </w:r>
    </w:p>
    <w:p>
      <w:pPr>
        <w:spacing w:after="100" w:line="269" w:lineRule="auto"/>
        <w:ind w:firstLine="0"/>
      </w:pPr>
      <w:r>
        <w:rPr>
          <w:rFonts w:ascii="Times New Roman" w:hAnsi="Times New Roman" w:eastAsia="Times New Roman"/>
          <w:b w:val="0"/>
          <w:i w:val="0"/>
          <w:sz w:val="24"/>
        </w:rPr>
        <w:t>1. Nội dung theo dõi chỉ số tuân thủ được áp dụng nhằm bảo đảm công tác và chi phí công tác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Tài chính - Kế toán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V. ĐIỀU KHOẢN THI HÀNH</w:t>
      </w:r>
    </w:p>
    <w:p>
      <w:pPr>
        <w:spacing w:after="120" w:line="269" w:lineRule="auto"/>
      </w:pPr>
      <w:r>
        <w:rPr>
          <w:rFonts w:ascii="Times New Roman" w:hAnsi="Times New Roman" w:eastAsia="Times New Roman"/>
          <w:b/>
          <w:i w:val="0"/>
          <w:sz w:val="26"/>
        </w:rPr>
        <w:t>Điều 48. Kiểm tra, giám sát</w:t>
      </w:r>
    </w:p>
    <w:p>
      <w:pPr>
        <w:spacing w:after="100" w:line="269" w:lineRule="auto"/>
        <w:ind w:firstLine="0"/>
      </w:pPr>
      <w:r>
        <w:rPr>
          <w:rFonts w:ascii="Times New Roman" w:hAnsi="Times New Roman" w:eastAsia="Times New Roman"/>
          <w:b w:val="0"/>
          <w:i w:val="0"/>
          <w:sz w:val="24"/>
        </w:rPr>
        <w:t>1. Đơn vị chủ trì tổ chức kiểm tra tối thiểu 01 lần/quý hoặc đột xuất khi có dấu hiệu vi phạm, phản ánh hoặc sự cố.</w:t>
      </w:r>
    </w:p>
    <w:p>
      <w:pPr>
        <w:spacing w:after="100" w:line="269" w:lineRule="auto"/>
        <w:ind w:firstLine="0"/>
      </w:pPr>
      <w:r>
        <w:rPr>
          <w:rFonts w:ascii="Times New Roman" w:hAnsi="Times New Roman" w:eastAsia="Times New Roman"/>
          <w:b w:val="0"/>
          <w:i w:val="0"/>
          <w:sz w:val="24"/>
        </w:rPr>
        <w:t>2. Kết quả kiểm tra phải có biên bản, phát hiện, nguyên nhân, trách nhiệm, biện pháp khắc phục và thời hạn hoàn thành.</w:t>
      </w:r>
    </w:p>
    <w:p>
      <w:pPr>
        <w:spacing w:after="100" w:line="269" w:lineRule="auto"/>
        <w:ind w:firstLine="0"/>
      </w:pPr>
      <w:r>
        <w:rPr>
          <w:rFonts w:ascii="Times New Roman" w:hAnsi="Times New Roman" w:eastAsia="Times New Roman"/>
          <w:b w:val="0"/>
          <w:i w:val="0"/>
          <w:sz w:val="24"/>
        </w:rPr>
        <w:t>3. Đơn vị được kiểm tra phải cung cấp hồ sơ trung thực, đầy đủ và đúng thời hạn.</w:t>
      </w:r>
    </w:p>
    <w:p>
      <w:pPr>
        <w:spacing w:after="100" w:line="269" w:lineRule="auto"/>
        <w:ind w:firstLine="0"/>
      </w:pPr>
      <w:r>
        <w:rPr>
          <w:rFonts w:ascii="Times New Roman" w:hAnsi="Times New Roman" w:eastAsia="Times New Roman"/>
          <w:b w:val="0"/>
          <w:i w:val="0"/>
          <w:sz w:val="24"/>
        </w:rPr>
        <w:t>4. Việc che giấu, sửa đổi hoặc tiêu hủy hồ sơ được xem là tình tiết tăng nặng khi xử lý trách nhiệm.</w:t>
      </w:r>
    </w:p>
    <w:p>
      <w:r>
        <w:br w:type="page"/>
      </w:r>
    </w:p>
    <w:p>
      <w:pPr>
        <w:spacing w:after="120" w:line="269" w:lineRule="auto"/>
      </w:pPr>
      <w:r>
        <w:rPr>
          <w:rFonts w:ascii="Times New Roman" w:hAnsi="Times New Roman" w:eastAsia="Times New Roman"/>
          <w:b/>
          <w:i w:val="0"/>
          <w:sz w:val="26"/>
        </w:rPr>
        <w:t>Điều 49. Xử lý vi phạm</w:t>
      </w:r>
    </w:p>
    <w:p>
      <w:pPr>
        <w:spacing w:after="100" w:line="269" w:lineRule="auto"/>
        <w:ind w:firstLine="0"/>
      </w:pPr>
      <w:r>
        <w:rPr>
          <w:rFonts w:ascii="Times New Roman" w:hAnsi="Times New Roman" w:eastAsia="Times New Roman"/>
          <w:b w:val="0"/>
          <w:i w:val="0"/>
          <w:sz w:val="24"/>
        </w:rPr>
        <w:t>1. Cá nhân vi phạm tùy mức độ bị nhắc nhở, yêu cầu khắc phục, đánh giá tuân thủ, xử lý kỷ luật hoặc yêu cầu bồi thường thiệt hại theo quy định.</w:t>
      </w:r>
    </w:p>
    <w:p>
      <w:pPr>
        <w:spacing w:after="100" w:line="269" w:lineRule="auto"/>
        <w:ind w:firstLine="0"/>
      </w:pPr>
      <w:r>
        <w:rPr>
          <w:rFonts w:ascii="Times New Roman" w:hAnsi="Times New Roman" w:eastAsia="Times New Roman"/>
          <w:b w:val="0"/>
          <w:i w:val="0"/>
          <w:sz w:val="24"/>
        </w:rPr>
        <w:t>2. Không áp dụng phạt tiền hoặc khấu trừ lương trái pháp luật; khoản bồi hoàn chỉ thực hiện trên cơ sở thiệt hại thực tế và căn cứ hợp pháp.</w:t>
      </w:r>
    </w:p>
    <w:p>
      <w:pPr>
        <w:spacing w:after="100" w:line="269" w:lineRule="auto"/>
        <w:ind w:firstLine="0"/>
      </w:pPr>
      <w:r>
        <w:rPr>
          <w:rFonts w:ascii="Times New Roman" w:hAnsi="Times New Roman" w:eastAsia="Times New Roman"/>
          <w:b w:val="0"/>
          <w:i w:val="0"/>
          <w:sz w:val="24"/>
        </w:rPr>
        <w:t>3. Nếu vi phạm do quy trình chưa rõ, đơn vị chủ trì phải sửa quy trình và đào tạo lại trước khi xác định trách nhiệm cá nhân.</w:t>
      </w:r>
    </w:p>
    <w:p>
      <w:pPr>
        <w:spacing w:after="100" w:line="269" w:lineRule="auto"/>
        <w:ind w:firstLine="0"/>
      </w:pPr>
      <w:r>
        <w:rPr>
          <w:rFonts w:ascii="Times New Roman" w:hAnsi="Times New Roman" w:eastAsia="Times New Roman"/>
          <w:b w:val="0"/>
          <w:i w:val="0"/>
          <w:sz w:val="24"/>
        </w:rPr>
        <w:t>4. Việc xử lý nội bộ không thay thế chế tài hành chính, dân sự hoặc hình sự của cơ quan có thẩm quyền nếu hành vi đồng thời vi phạm pháp luật.</w:t>
      </w:r>
    </w:p>
    <w:p>
      <w:r>
        <w:br w:type="page"/>
      </w:r>
    </w:p>
    <w:p>
      <w:pPr>
        <w:spacing w:after="120" w:line="269" w:lineRule="auto"/>
      </w:pPr>
      <w:r>
        <w:rPr>
          <w:rFonts w:ascii="Times New Roman" w:hAnsi="Times New Roman" w:eastAsia="Times New Roman"/>
          <w:b/>
          <w:i w:val="0"/>
          <w:sz w:val="26"/>
        </w:rPr>
        <w:t>Điều 50. Khiếu nại, phản ánh</w:t>
      </w:r>
    </w:p>
    <w:p>
      <w:pPr>
        <w:spacing w:after="100" w:line="269" w:lineRule="auto"/>
        <w:ind w:firstLine="0"/>
      </w:pPr>
      <w:r>
        <w:rPr>
          <w:rFonts w:ascii="Times New Roman" w:hAnsi="Times New Roman" w:eastAsia="Times New Roman"/>
          <w:b w:val="0"/>
          <w:i w:val="0"/>
          <w:sz w:val="24"/>
        </w:rPr>
        <w:t>1. Người lao động có quyền phản ánh, khiếu nại hoặc đề xuất sửa đổi thông qua quản lý, đơn vị chủ trì, Công đoàn hoặc kênh tuân thủ nội bộ.</w:t>
      </w:r>
    </w:p>
    <w:p>
      <w:pPr>
        <w:spacing w:after="100" w:line="269" w:lineRule="auto"/>
        <w:ind w:firstLine="0"/>
      </w:pPr>
      <w:r>
        <w:rPr>
          <w:rFonts w:ascii="Times New Roman" w:hAnsi="Times New Roman" w:eastAsia="Times New Roman"/>
          <w:b w:val="0"/>
          <w:i w:val="0"/>
          <w:sz w:val="24"/>
        </w:rPr>
        <w:t>2. Người tiếp nhận phải ghi nhận đầy đủ nội dung, thời điểm, người liên quan và chuyển đúng đầu mối trong vòng 02 ngày làm việc.</w:t>
      </w:r>
    </w:p>
    <w:p>
      <w:pPr>
        <w:spacing w:after="100" w:line="269" w:lineRule="auto"/>
        <w:ind w:firstLine="0"/>
      </w:pPr>
      <w:r>
        <w:rPr>
          <w:rFonts w:ascii="Times New Roman" w:hAnsi="Times New Roman" w:eastAsia="Times New Roman"/>
          <w:b w:val="0"/>
          <w:i w:val="0"/>
          <w:sz w:val="24"/>
        </w:rPr>
        <w:t>3. Công ty nghiêm cấm trù dập, đe dọa, phân biệt đối xử hoặc gây bất lợi cho người báo cáo trung thực.</w:t>
      </w:r>
    </w:p>
    <w:p>
      <w:pPr>
        <w:spacing w:after="100" w:line="269" w:lineRule="auto"/>
        <w:ind w:firstLine="0"/>
      </w:pPr>
      <w:r>
        <w:rPr>
          <w:rFonts w:ascii="Times New Roman" w:hAnsi="Times New Roman" w:eastAsia="Times New Roman"/>
          <w:b w:val="0"/>
          <w:i w:val="0"/>
          <w:sz w:val="24"/>
        </w:rPr>
        <w:t>4. Thông tin người phản ánh được bảo mật theo nguyên tắc cần biết.</w:t>
      </w:r>
    </w:p>
    <w:p>
      <w:r>
        <w:br w:type="page"/>
      </w:r>
    </w:p>
    <w:p>
      <w:pPr>
        <w:spacing w:after="120" w:line="269" w:lineRule="auto"/>
      </w:pPr>
      <w:r>
        <w:rPr>
          <w:rFonts w:ascii="Times New Roman" w:hAnsi="Times New Roman" w:eastAsia="Times New Roman"/>
          <w:b/>
          <w:i w:val="0"/>
          <w:sz w:val="26"/>
        </w:rPr>
        <w:t>Điều 51. Sửa đổi, bổ sung</w:t>
      </w:r>
    </w:p>
    <w:p>
      <w:pPr>
        <w:spacing w:after="100" w:line="269" w:lineRule="auto"/>
        <w:ind w:firstLine="0"/>
      </w:pPr>
      <w:r>
        <w:rPr>
          <w:rFonts w:ascii="Times New Roman" w:hAnsi="Times New Roman" w:eastAsia="Times New Roman"/>
          <w:b w:val="0"/>
          <w:i w:val="0"/>
          <w:sz w:val="24"/>
        </w:rPr>
        <w:t>1. Văn bản được rà soát tối thiểu hằng năm hoặc khi có thay đổi pháp luật, mô hình tổ chức, công nghệ, ngân sách hoặc rủi ro vận hành.</w:t>
      </w:r>
    </w:p>
    <w:p>
      <w:pPr>
        <w:spacing w:after="100" w:line="269" w:lineRule="auto"/>
        <w:ind w:firstLine="0"/>
      </w:pPr>
      <w:r>
        <w:rPr>
          <w:rFonts w:ascii="Times New Roman" w:hAnsi="Times New Roman" w:eastAsia="Times New Roman"/>
          <w:b w:val="0"/>
          <w:i w:val="0"/>
          <w:sz w:val="24"/>
        </w:rPr>
        <w:t>2. Đề xuất sửa đổi phải nêu điều khoản cần sửa, lý do, tác động, chi phí, rủi ro nếu không sửa và ý kiến của đơn vị chịu ảnh hưởng.</w:t>
      </w:r>
    </w:p>
    <w:p>
      <w:pPr>
        <w:spacing w:after="100" w:line="269" w:lineRule="auto"/>
        <w:ind w:firstLine="0"/>
      </w:pPr>
      <w:r>
        <w:rPr>
          <w:rFonts w:ascii="Times New Roman" w:hAnsi="Times New Roman" w:eastAsia="Times New Roman"/>
          <w:b w:val="0"/>
          <w:i w:val="0"/>
          <w:sz w:val="24"/>
        </w:rPr>
        <w:t>3. Mọi sửa đổi chỉ có hiệu lực khi được Tổng Giám đốc hoặc người được ủy quyền phê duyệt và công bố trên kênh nội bộ.</w:t>
      </w:r>
    </w:p>
    <w:p>
      <w:pPr>
        <w:spacing w:after="100" w:line="269" w:lineRule="auto"/>
        <w:ind w:firstLine="0"/>
      </w:pPr>
      <w:r>
        <w:rPr>
          <w:rFonts w:ascii="Times New Roman" w:hAnsi="Times New Roman" w:eastAsia="Times New Roman"/>
          <w:b w:val="0"/>
          <w:i w:val="0"/>
          <w:sz w:val="24"/>
        </w:rPr>
        <w:t>4. Trong thời gian chờ sửa đổi, nội dung bắt buộc của pháp luật được ưu tiên áp dụng.</w:t>
      </w:r>
    </w:p>
    <w:p>
      <w:r>
        <w:br w:type="page"/>
      </w:r>
    </w:p>
    <w:p>
      <w:pPr>
        <w:spacing w:after="120" w:line="269" w:lineRule="auto"/>
      </w:pPr>
      <w:r>
        <w:rPr>
          <w:rFonts w:ascii="Times New Roman" w:hAnsi="Times New Roman" w:eastAsia="Times New Roman"/>
          <w:b/>
          <w:i w:val="0"/>
          <w:sz w:val="26"/>
        </w:rPr>
        <w:t>Điều 52. Điều khoản thi hành</w:t>
      </w:r>
    </w:p>
    <w:p>
      <w:pPr>
        <w:spacing w:after="100" w:line="269" w:lineRule="auto"/>
        <w:ind w:firstLine="0"/>
      </w:pPr>
      <w:r>
        <w:rPr>
          <w:rFonts w:ascii="Times New Roman" w:hAnsi="Times New Roman" w:eastAsia="Times New Roman"/>
          <w:b w:val="0"/>
          <w:i w:val="0"/>
          <w:sz w:val="24"/>
        </w:rPr>
        <w:t>1. Văn bản có hiệu lực kể từ ngày 01 tháng 07 năm 2026.</w:t>
      </w:r>
    </w:p>
    <w:p>
      <w:pPr>
        <w:spacing w:after="100" w:line="269" w:lineRule="auto"/>
        <w:ind w:firstLine="0"/>
      </w:pPr>
      <w:r>
        <w:rPr>
          <w:rFonts w:ascii="Times New Roman" w:hAnsi="Times New Roman" w:eastAsia="Times New Roman"/>
          <w:b w:val="0"/>
          <w:i w:val="0"/>
          <w:sz w:val="24"/>
        </w:rPr>
        <w:t>2. Trưởng các đơn vị phổ biến văn bản đến người lao động thuộc quyền quản lý trong vòng 10 ngày làm việc kể từ ngày hiệu lực.</w:t>
      </w:r>
    </w:p>
    <w:p>
      <w:pPr>
        <w:spacing w:after="100" w:line="269" w:lineRule="auto"/>
        <w:ind w:firstLine="0"/>
      </w:pPr>
      <w:r>
        <w:rPr>
          <w:rFonts w:ascii="Times New Roman" w:hAnsi="Times New Roman" w:eastAsia="Times New Roman"/>
          <w:b w:val="0"/>
          <w:i w:val="0"/>
          <w:sz w:val="24"/>
        </w:rPr>
        <w:t>3. Đơn vị chủ trì theo dõi áp dụng, tổng hợp vướng mắc và báo cáo Ban Tổng Giám đốc khi cần quyết định ngoại lệ.</w:t>
      </w:r>
    </w:p>
    <w:p>
      <w:pPr>
        <w:spacing w:after="100" w:line="269" w:lineRule="auto"/>
        <w:ind w:firstLine="0"/>
      </w:pPr>
      <w:r>
        <w:rPr>
          <w:rFonts w:ascii="Times New Roman" w:hAnsi="Times New Roman" w:eastAsia="Times New Roman"/>
          <w:b w:val="0"/>
          <w:i w:val="0"/>
          <w:sz w:val="24"/>
        </w:rPr>
        <w:t>4. Người lao động có trách nhiệm thực hiện; việc không đọc văn bản không miễn trừ trách nhiệm nếu Công ty đã công bố hợp lệ.</w:t>
      </w:r>
    </w:p>
    <w:p>
      <w:r>
        <w:br w:type="page"/>
      </w:r>
    </w:p>
    <w:p>
      <w:pPr>
        <w:spacing w:after="120" w:line="269" w:lineRule="auto"/>
        <w:jc w:val="center"/>
      </w:pPr>
      <w:r>
        <w:rPr>
          <w:rFonts w:ascii="Times New Roman" w:hAnsi="Times New Roman" w:eastAsia="Times New Roman"/>
          <w:b/>
          <w:i w:val="0"/>
          <w:sz w:val="28"/>
        </w:rPr>
        <w:t>PHỤ LỤC 1</w:t>
      </w:r>
    </w:p>
    <w:p>
      <w:pPr>
        <w:spacing w:after="120" w:line="269" w:lineRule="auto"/>
        <w:jc w:val="center"/>
      </w:pPr>
      <w:r>
        <w:rPr>
          <w:rFonts w:ascii="Times New Roman" w:hAnsi="Times New Roman" w:eastAsia="Times New Roman"/>
          <w:b/>
          <w:i w:val="0"/>
          <w:sz w:val="26"/>
        </w:rPr>
        <w:t>MẪU ĐỀ NGHỊ CÔNG TÁC TRONG NƯỚC</w:t>
      </w:r>
    </w:p>
    <w:p>
      <w:pPr>
        <w:spacing w:after="120" w:line="269" w:lineRule="auto"/>
      </w:pPr>
      <w:r>
        <w:rPr>
          <w:rFonts w:ascii="Times New Roman" w:hAnsi="Times New Roman" w:eastAsia="Times New Roman"/>
          <w:b w:val="0"/>
          <w:i/>
          <w:sz w:val="22"/>
        </w:rPr>
        <w:t>Áp dụng cho Quy chế công tác phí, đi công tác, tạm ứng và hoàn ứng chi phí;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công tác và chi phí công tác</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2</w:t>
      </w:r>
    </w:p>
    <w:p>
      <w:pPr>
        <w:spacing w:after="120" w:line="269" w:lineRule="auto"/>
        <w:jc w:val="center"/>
      </w:pPr>
      <w:r>
        <w:rPr>
          <w:rFonts w:ascii="Times New Roman" w:hAnsi="Times New Roman" w:eastAsia="Times New Roman"/>
          <w:b/>
          <w:i w:val="0"/>
          <w:sz w:val="26"/>
        </w:rPr>
        <w:t>MẪU ĐỀ NGHỊ CÔNG TÁC NƯỚC NGOÀI</w:t>
      </w:r>
    </w:p>
    <w:p>
      <w:pPr>
        <w:spacing w:after="120" w:line="269" w:lineRule="auto"/>
      </w:pPr>
      <w:r>
        <w:rPr>
          <w:rFonts w:ascii="Times New Roman" w:hAnsi="Times New Roman" w:eastAsia="Times New Roman"/>
          <w:b w:val="0"/>
          <w:i/>
          <w:sz w:val="22"/>
        </w:rPr>
        <w:t>Áp dụng cho Quy chế công tác phí, đi công tác, tạm ứng và hoàn ứng chi phí;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công tác và chi phí công tác</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3</w:t>
      </w:r>
    </w:p>
    <w:p>
      <w:pPr>
        <w:spacing w:after="120" w:line="269" w:lineRule="auto"/>
        <w:jc w:val="center"/>
      </w:pPr>
      <w:r>
        <w:rPr>
          <w:rFonts w:ascii="Times New Roman" w:hAnsi="Times New Roman" w:eastAsia="Times New Roman"/>
          <w:b/>
          <w:i w:val="0"/>
          <w:sz w:val="26"/>
        </w:rPr>
        <w:t>BẢNG ĐỊNH MỨC CÔNG TÁC PHÍ</w:t>
      </w:r>
    </w:p>
    <w:p>
      <w:pPr>
        <w:spacing w:after="120" w:line="269" w:lineRule="auto"/>
      </w:pPr>
      <w:r>
        <w:rPr>
          <w:rFonts w:ascii="Times New Roman" w:hAnsi="Times New Roman" w:eastAsia="Times New Roman"/>
          <w:b w:val="0"/>
          <w:i/>
          <w:sz w:val="22"/>
        </w:rPr>
        <w:t>Áp dụng cho Quy chế công tác phí, đi công tác, tạm ứng và hoàn ứng chi phí;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công tác và chi phí công tác</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4</w:t>
      </w:r>
    </w:p>
    <w:p>
      <w:pPr>
        <w:spacing w:after="120" w:line="269" w:lineRule="auto"/>
        <w:jc w:val="center"/>
      </w:pPr>
      <w:r>
        <w:rPr>
          <w:rFonts w:ascii="Times New Roman" w:hAnsi="Times New Roman" w:eastAsia="Times New Roman"/>
          <w:b/>
          <w:i w:val="0"/>
          <w:sz w:val="26"/>
        </w:rPr>
        <w:t>MẪU TẠM ỨNG CÔNG TÁC PHÍ</w:t>
      </w:r>
    </w:p>
    <w:p>
      <w:pPr>
        <w:spacing w:after="120" w:line="269" w:lineRule="auto"/>
      </w:pPr>
      <w:r>
        <w:rPr>
          <w:rFonts w:ascii="Times New Roman" w:hAnsi="Times New Roman" w:eastAsia="Times New Roman"/>
          <w:b w:val="0"/>
          <w:i/>
          <w:sz w:val="22"/>
        </w:rPr>
        <w:t>Áp dụng cho Quy chế công tác phí, đi công tác, tạm ứng và hoàn ứng chi phí;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công tác và chi phí công tác</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5</w:t>
      </w:r>
    </w:p>
    <w:p>
      <w:pPr>
        <w:spacing w:after="120" w:line="269" w:lineRule="auto"/>
        <w:jc w:val="center"/>
      </w:pPr>
      <w:r>
        <w:rPr>
          <w:rFonts w:ascii="Times New Roman" w:hAnsi="Times New Roman" w:eastAsia="Times New Roman"/>
          <w:b/>
          <w:i w:val="0"/>
          <w:sz w:val="26"/>
        </w:rPr>
        <w:t>MẪU HOÀN ỨNG CÔNG TÁC PHÍ</w:t>
      </w:r>
    </w:p>
    <w:p>
      <w:pPr>
        <w:spacing w:after="120" w:line="269" w:lineRule="auto"/>
      </w:pPr>
      <w:r>
        <w:rPr>
          <w:rFonts w:ascii="Times New Roman" w:hAnsi="Times New Roman" w:eastAsia="Times New Roman"/>
          <w:b w:val="0"/>
          <w:i/>
          <w:sz w:val="22"/>
        </w:rPr>
        <w:t>Áp dụng cho Quy chế công tác phí, đi công tác, tạm ứng và hoàn ứng chi phí;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công tác và chi phí công tác</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6</w:t>
      </w:r>
    </w:p>
    <w:p>
      <w:pPr>
        <w:spacing w:after="120" w:line="269" w:lineRule="auto"/>
        <w:jc w:val="center"/>
      </w:pPr>
      <w:r>
        <w:rPr>
          <w:rFonts w:ascii="Times New Roman" w:hAnsi="Times New Roman" w:eastAsia="Times New Roman"/>
          <w:b/>
          <w:i w:val="0"/>
          <w:sz w:val="26"/>
        </w:rPr>
        <w:t>MẪU PHIẾU ĐỀ NGHỊ/XÁC NHẬN NGHIỆP VỤ</w:t>
      </w:r>
    </w:p>
    <w:p>
      <w:pPr>
        <w:spacing w:after="120" w:line="269" w:lineRule="auto"/>
      </w:pPr>
      <w:r>
        <w:rPr>
          <w:rFonts w:ascii="Times New Roman" w:hAnsi="Times New Roman" w:eastAsia="Times New Roman"/>
          <w:b w:val="0"/>
          <w:i/>
          <w:sz w:val="22"/>
        </w:rPr>
        <w:t>Áp dụng cho Quy chế công tác phí, đi công tác, tạm ứng và hoàn ứng chi phí;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công tác và chi phí công tác</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7</w:t>
      </w:r>
    </w:p>
    <w:p>
      <w:pPr>
        <w:spacing w:after="120" w:line="269" w:lineRule="auto"/>
        <w:jc w:val="center"/>
      </w:pPr>
      <w:r>
        <w:rPr>
          <w:rFonts w:ascii="Times New Roman" w:hAnsi="Times New Roman" w:eastAsia="Times New Roman"/>
          <w:b/>
          <w:i w:val="0"/>
          <w:sz w:val="26"/>
        </w:rPr>
        <w:t>MẪU BIÊN BẢN BÀN GIAO HOẶC NGHIỆM THU</w:t>
      </w:r>
    </w:p>
    <w:p>
      <w:pPr>
        <w:spacing w:after="120" w:line="269" w:lineRule="auto"/>
      </w:pPr>
      <w:r>
        <w:rPr>
          <w:rFonts w:ascii="Times New Roman" w:hAnsi="Times New Roman" w:eastAsia="Times New Roman"/>
          <w:b w:val="0"/>
          <w:i/>
          <w:sz w:val="22"/>
        </w:rPr>
        <w:t>Áp dụng cho Quy chế công tác phí, đi công tác, tạm ứng và hoàn ứng chi phí;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công tác và chi phí công tác</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8</w:t>
      </w:r>
    </w:p>
    <w:p>
      <w:pPr>
        <w:spacing w:after="120" w:line="269" w:lineRule="auto"/>
        <w:jc w:val="center"/>
      </w:pPr>
      <w:r>
        <w:rPr>
          <w:rFonts w:ascii="Times New Roman" w:hAnsi="Times New Roman" w:eastAsia="Times New Roman"/>
          <w:b/>
          <w:i w:val="0"/>
          <w:sz w:val="26"/>
        </w:rPr>
        <w:t>MẪU BIÊN BẢN SỰ VIỆC/VI PHẠM</w:t>
      </w:r>
    </w:p>
    <w:p>
      <w:pPr>
        <w:spacing w:after="120" w:line="269" w:lineRule="auto"/>
      </w:pPr>
      <w:r>
        <w:rPr>
          <w:rFonts w:ascii="Times New Roman" w:hAnsi="Times New Roman" w:eastAsia="Times New Roman"/>
          <w:b w:val="0"/>
          <w:i/>
          <w:sz w:val="22"/>
        </w:rPr>
        <w:t>Áp dụng cho Quy chế công tác phí, đi công tác, tạm ứng và hoàn ứng chi phí;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công tác và chi phí công tác</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9</w:t>
      </w:r>
    </w:p>
    <w:p>
      <w:pPr>
        <w:spacing w:after="120" w:line="269" w:lineRule="auto"/>
        <w:jc w:val="center"/>
      </w:pPr>
      <w:r>
        <w:rPr>
          <w:rFonts w:ascii="Times New Roman" w:hAnsi="Times New Roman" w:eastAsia="Times New Roman"/>
          <w:b/>
          <w:i w:val="0"/>
          <w:sz w:val="26"/>
        </w:rPr>
        <w:t>DANH MỤC HỒ SƠ LƯU TRỮ BẮT BUỘC</w:t>
      </w:r>
    </w:p>
    <w:p>
      <w:pPr>
        <w:spacing w:after="120" w:line="269" w:lineRule="auto"/>
      </w:pPr>
      <w:r>
        <w:rPr>
          <w:rFonts w:ascii="Times New Roman" w:hAnsi="Times New Roman" w:eastAsia="Times New Roman"/>
          <w:b w:val="0"/>
          <w:i/>
          <w:sz w:val="22"/>
        </w:rPr>
        <w:t>Áp dụng cho Quy chế công tác phí, đi công tác, tạm ứng và hoàn ứng chi phí;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công tác và chi phí công tác</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10</w:t>
      </w:r>
    </w:p>
    <w:p>
      <w:pPr>
        <w:spacing w:after="120" w:line="269" w:lineRule="auto"/>
        <w:jc w:val="center"/>
      </w:pPr>
      <w:r>
        <w:rPr>
          <w:rFonts w:ascii="Times New Roman" w:hAnsi="Times New Roman" w:eastAsia="Times New Roman"/>
          <w:b/>
          <w:i w:val="0"/>
          <w:sz w:val="26"/>
        </w:rPr>
        <w:t>MA TRẬN PHÂN QUYỀN VÀ PHÊ DUYỆT</w:t>
      </w:r>
    </w:p>
    <w:p>
      <w:pPr>
        <w:spacing w:after="120" w:line="269" w:lineRule="auto"/>
      </w:pPr>
      <w:r>
        <w:rPr>
          <w:rFonts w:ascii="Times New Roman" w:hAnsi="Times New Roman" w:eastAsia="Times New Roman"/>
          <w:b w:val="0"/>
          <w:i/>
          <w:sz w:val="22"/>
        </w:rPr>
        <w:t>Áp dụng cho Quy chế công tác phí, đi công tác, tạm ứng và hoàn ứng chi phí;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công tác và chi phí công tác</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11</w:t>
      </w:r>
    </w:p>
    <w:p>
      <w:pPr>
        <w:spacing w:after="120" w:line="269" w:lineRule="auto"/>
        <w:jc w:val="center"/>
      </w:pPr>
      <w:r>
        <w:rPr>
          <w:rFonts w:ascii="Times New Roman" w:hAnsi="Times New Roman" w:eastAsia="Times New Roman"/>
          <w:b/>
          <w:i w:val="0"/>
          <w:sz w:val="26"/>
        </w:rPr>
        <w:t>BẢNG THỜI HẠN XỬ LÝ HỒ SƠ</w:t>
      </w:r>
    </w:p>
    <w:p>
      <w:pPr>
        <w:spacing w:after="120" w:line="269" w:lineRule="auto"/>
      </w:pPr>
      <w:r>
        <w:rPr>
          <w:rFonts w:ascii="Times New Roman" w:hAnsi="Times New Roman" w:eastAsia="Times New Roman"/>
          <w:b w:val="0"/>
          <w:i/>
          <w:sz w:val="22"/>
        </w:rPr>
        <w:t>Áp dụng cho Quy chế công tác phí, đi công tác, tạm ứng và hoàn ứng chi phí;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công tác và chi phí công tác</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12</w:t>
      </w:r>
    </w:p>
    <w:p>
      <w:pPr>
        <w:spacing w:after="120" w:line="269" w:lineRule="auto"/>
        <w:jc w:val="center"/>
      </w:pPr>
      <w:r>
        <w:rPr>
          <w:rFonts w:ascii="Times New Roman" w:hAnsi="Times New Roman" w:eastAsia="Times New Roman"/>
          <w:b/>
          <w:i w:val="0"/>
          <w:sz w:val="26"/>
        </w:rPr>
        <w:t>BẢNG TIÊU CHÍ KIỂM TRA ĐỊNH KỲ</w:t>
      </w:r>
    </w:p>
    <w:p>
      <w:pPr>
        <w:spacing w:after="120" w:line="269" w:lineRule="auto"/>
      </w:pPr>
      <w:r>
        <w:rPr>
          <w:rFonts w:ascii="Times New Roman" w:hAnsi="Times New Roman" w:eastAsia="Times New Roman"/>
          <w:b w:val="0"/>
          <w:i/>
          <w:sz w:val="22"/>
        </w:rPr>
        <w:t>Áp dụng cho Quy chế công tác phí, đi công tác, tạm ứng và hoàn ứng chi phí;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công tác và chi phí công tác</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VSF/QD-TC-01/2026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XÁC NHẬN BAN HÀNH VÀ CAM KẾT THỰC HIỆN</w:t>
      </w:r>
    </w:p>
    <w:p>
      <w:pPr>
        <w:spacing w:after="120" w:line="269" w:lineRule="auto"/>
      </w:pPr>
      <w:r>
        <w:rPr>
          <w:rFonts w:ascii="Times New Roman" w:hAnsi="Times New Roman" w:eastAsia="Times New Roman"/>
          <w:b w:val="0"/>
          <w:i w:val="0"/>
          <w:sz w:val="24"/>
        </w:rPr>
        <w:t>1. Văn bản “Quy chế công tác phí, đi công tác, tạm ứng và hoàn ứng chi phí” được ban hành theo Quyết định số 04/2026/QĐ-VSF và có hiệu lực từ ngày 01 tháng 07 năm 2026.</w:t>
      </w:r>
    </w:p>
    <w:p>
      <w:pPr>
        <w:spacing w:after="120" w:line="269" w:lineRule="auto"/>
      </w:pPr>
      <w:r>
        <w:rPr>
          <w:rFonts w:ascii="Times New Roman" w:hAnsi="Times New Roman" w:eastAsia="Times New Roman"/>
          <w:b w:val="0"/>
          <w:i w:val="0"/>
          <w:sz w:val="24"/>
        </w:rPr>
        <w:t>2. Các đơn vị có trách nhiệm phổ biến, đào tạo khi cần và lưu bằng chứng phổ biến trên hệ thống nội bộ.</w:t>
      </w:r>
    </w:p>
    <w:p>
      <w:pPr>
        <w:spacing w:after="120" w:line="269" w:lineRule="auto"/>
      </w:pPr>
      <w:r>
        <w:rPr>
          <w:rFonts w:ascii="Times New Roman" w:hAnsi="Times New Roman" w:eastAsia="Times New Roman"/>
          <w:b w:val="0"/>
          <w:i w:val="0"/>
          <w:sz w:val="24"/>
        </w:rPr>
        <w:t>3. Người lao động xác nhận đã đọc, hiểu và cam kết tuân thủ thông qua HRM hoặc bản ký xác nhận.</w:t>
      </w:r>
    </w:p>
    <w:p>
      <w:pPr>
        <w:spacing w:after="120" w:line="269" w:lineRule="auto"/>
        <w:jc w:val="right"/>
      </w:pPr>
      <w:r>
        <w:rPr>
          <w:rFonts w:ascii="Times New Roman" w:hAnsi="Times New Roman" w:eastAsia="Times New Roman"/>
          <w:b/>
          <w:i w:val="0"/>
          <w:sz w:val="24"/>
        </w:rPr>
        <w:t>ĐẠI DIỆN CÔNG TY</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sectPr w:rsidR="00FC693F" w:rsidRPr="0006063C" w:rsidSect="00034616">
      <w:headerReference w:type="default" r:id="rId9"/>
      <w:footerReference w:type="default" r:id="rId10"/>
      <w:pgSz w:w="12240" w:h="15840"/>
      <w:pgMar w:top="1134"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r>
      <w:rPr>
        <w:rFonts w:ascii="Times New Roman" w:hAnsi="Times New Roman" w:eastAsia="Times New Roman"/>
        <w:b w:val="0"/>
        <w:i w:val="0"/>
        <w:sz w:val="18"/>
      </w:rPr>
      <w:t xml:space="preserve"> - Tài liệu kiểm soát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VSF/QD-TC-01/2026 | Phiên bản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