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CÔNG TY TNHH CÔNG NGHỆ VSF</w:t>
      </w:r>
    </w:p>
    <w:p>
      <w:pPr>
        <w:jc w:val="center"/>
      </w:pPr>
      <w:r>
        <w:rPr>
          <w:sz w:val="22"/>
        </w:rPr>
        <w:t>Số: VSF/20_QD_CAP_PHAT_THU_H</w:t>
      </w:r>
    </w:p>
    <w:p/>
    <w:p>
      <w:pPr>
        <w:jc w:val="center"/>
      </w:pPr>
      <w:r>
        <w:rPr>
          <w:b/>
          <w:sz w:val="28"/>
        </w:rPr>
        <w:t>QUY ĐỊNH CẤP PHÁT VÀ THU HỒI THẺ NHÂN VIÊN</w:t>
      </w:r>
    </w:p>
    <w:p/>
    <w:p>
      <w:pPr>
        <w:pStyle w:val="Heading1"/>
        <w:spacing w:before="280" w:after="120"/>
      </w:pPr>
      <w:r>
        <w:t>CÔNG TY TNHH CÔNG NGHỆ VSF</w:t>
      </w:r>
    </w:p>
    <w:p>
      <w:pPr>
        <w:pStyle w:val="Heading1"/>
        <w:spacing w:before="280" w:after="120"/>
      </w:pPr>
      <w:r>
        <w:t>I. PHẠM VI VÀ ĐỐI TƯỢNG ÁP DỤNG</w:t>
      </w:r>
    </w:p>
    <w:p>
      <w:pPr>
        <w:spacing w:after="120"/>
      </w:pPr>
      <w:r>
        <w:t>Quy định này áp dụng cho tất cả các nhân viên của Công ty TNHH Công nghệ VSF, bao gồm nhưng không giới hạn ở các bộ phận phát triển phần mềm, hỗ trợ kỹ thuật, quản lý dự án, nhân sự, và các bộ phận khác có liên quan đến việc sử dụng thẻ nhân viên trong quá trình làm việc. Quy định này có hiệu lực từ ngày 01/07/2026 và sẽ được áp dụng trên toàn bộ địa bàn văn phòng của công ty tại TP. Hồ Chí Minh. Các đối tượng ngoại lệ bao gồm những nhân viên làm việc theo hợp đồng ngắn hạn hoặc làm việc từ xa mà không cần thẻ nhân viên. Ngoài ra, quy định này cũng áp dụng cho các đối tác và nhà thầu tạm thời khi họ cần truy cập vào các khu vực yêu cầu thẻ nhân viên.</w:t>
      </w:r>
    </w:p>
    <w:p>
      <w:pPr>
        <w:pStyle w:val="Heading1"/>
        <w:spacing w:before="280" w:after="120"/>
      </w:pPr>
      <w:r>
        <w:t>II. ĐỊNH NGHĨA VÀ GIẢI THÍCH THUẬT NGỮ</w:t>
      </w:r>
    </w:p>
    <w:p>
      <w:pPr>
        <w:pStyle w:val="ListNumber"/>
        <w:spacing w:after="60"/>
      </w:pPr>
      <w:r>
        <w:t>1. Thẻ nhân viên: Là một loại thẻ được cấp cho nhân viên của công ty, dùng để nhận diện và truy cập vào các khu vực hạn chế trong văn phòng công ty.</w:t>
      </w:r>
    </w:p>
    <w:p>
      <w:pPr>
        <w:pStyle w:val="ListNumber"/>
        <w:spacing w:after="60"/>
      </w:pPr>
      <w:r>
        <w:t>2. Quy trình cấp thẻ: Là các bước cụ thể mà công ty thực hiện để phát hành thẻ nhân viên mới hoặc cấp lại thẻ đã bị hỏng hoặc mất.</w:t>
      </w:r>
    </w:p>
    <w:p>
      <w:pPr>
        <w:pStyle w:val="ListNumber"/>
        <w:spacing w:after="60"/>
      </w:pPr>
      <w:r>
        <w:t>3. Quy trình thu hồi thẻ: Là các bước mà công ty thực hiện để thu hồi thẻ nhân viên trong trường hợp nhân viên nghỉ việc hoặc khi thẻ hết thời hạn sử dụng.</w:t>
      </w:r>
    </w:p>
    <w:p>
      <w:pPr>
        <w:pStyle w:val="ListNumber"/>
        <w:spacing w:after="60"/>
      </w:pPr>
      <w:r>
        <w:t>4. Phân loại thẻ: Là việc phân chia thẻ nhân viên thành các cấp độ khác nhau dựa trên quyền truy cập vào các khu vực và thông tin của công ty.</w:t>
      </w:r>
    </w:p>
    <w:p>
      <w:pPr>
        <w:pStyle w:val="ListNumber"/>
        <w:spacing w:after="60"/>
      </w:pPr>
      <w:r>
        <w:t>5. Log thẻ: Là hệ thống lưu trữ thông tin liên quan đến việc cấp phát, thu hồi và sử dụng thẻ nhân viên, giúp theo dõi và quản lý việc sử dụng thẻ một cách hiệu quả.</w:t>
      </w:r>
    </w:p>
    <w:p>
      <w:pPr>
        <w:pStyle w:val="ListNumber"/>
        <w:spacing w:after="60"/>
      </w:pPr>
      <w:r>
        <w:t>6. Hệ thống quản lý thẻ: Là phần mềm hoặc hệ thống thông tin được sử dụng để quản lý toàn bộ quy trình cấp phát và thu hồi thẻ nhân viên.</w:t>
      </w:r>
    </w:p>
    <w:p>
      <w:pPr>
        <w:pStyle w:val="Heading1"/>
        <w:spacing w:before="280" w:after="120"/>
      </w:pPr>
      <w:r>
        <w:t>III. NỘI DUNG QUY ĐỊNH / QUY TRÌNH CHI TIẾT</w:t>
      </w:r>
    </w:p>
    <w:p>
      <w:pPr>
        <w:pStyle w:val="Heading2"/>
        <w:spacing w:before="200" w:after="80"/>
      </w:pPr>
      <w:r>
        <w:t>3.1. Quy trình cấp phát thẻ mới</w:t>
      </w:r>
    </w:p>
    <w:p>
      <w:pPr>
        <w:pStyle w:val="ListBullet"/>
        <w:spacing w:after="60"/>
      </w:pPr>
      <w:r>
        <w:t>Hồ sơ yêu cầu: Nhân viên mới cần điền vào mẫu yêu cầu cấp thẻ nhân viên, kèm theo giấy tờ tùy thân và ảnh chân dung.</w:t>
      </w:r>
    </w:p>
    <w:p>
      <w:pPr>
        <w:pStyle w:val="ListBullet"/>
        <w:spacing w:after="60"/>
      </w:pPr>
      <w:r>
        <w:t>Xét duyệt hồ sơ: Bộ phận nhân sự sẽ kiểm tra và xác nhận thông tin trong hồ sơ yêu cầu trước khi tiến hành sản xuất thẻ.</w:t>
      </w:r>
    </w:p>
    <w:p>
      <w:pPr>
        <w:pStyle w:val="ListBullet"/>
        <w:spacing w:after="60"/>
      </w:pPr>
      <w:r>
        <w:t>Phát hành thẻ: Sau khi hồ sơ được duyệt, thẻ nhân viên sẽ được in và cấp phát cho nhân viên trong vòng 3 ngày làm việc.</w:t>
      </w:r>
    </w:p>
    <w:p>
      <w:pPr>
        <w:pStyle w:val="Heading2"/>
        <w:spacing w:before="200" w:after="80"/>
      </w:pPr>
      <w:r>
        <w:t>3.2. Quy trình cấp lại thẻ bị hỏng/mất</w:t>
      </w:r>
    </w:p>
    <w:p>
      <w:pPr>
        <w:pStyle w:val="ListBullet"/>
        <w:spacing w:after="60"/>
      </w:pPr>
      <w:r>
        <w:t>Thông báo sự cố: Nhân viên phải thông báo ngay lập tức cho bộ phận nhân sự khi phát hiện thẻ bị hỏng hoặc mất.</w:t>
      </w:r>
    </w:p>
    <w:p>
      <w:pPr>
        <w:pStyle w:val="ListBullet"/>
        <w:spacing w:after="60"/>
      </w:pPr>
      <w:r>
        <w:t>Hồ sơ yêu cầu cấp lại: Nhân viên cần điền vào mẫu yêu cầu cấp lại thẻ và nộp cho bộ phận nhân sự.</w:t>
      </w:r>
    </w:p>
    <w:p>
      <w:pPr>
        <w:pStyle w:val="ListBullet"/>
        <w:spacing w:after="60"/>
      </w:pPr>
      <w:r>
        <w:t>Cấp lại thẻ: Thẻ mới sẽ được cấp phát trong vòng 2 ngày làm việc kể từ khi nhận được yêu cầu hợp lệ.</w:t>
      </w:r>
    </w:p>
    <w:p>
      <w:pPr>
        <w:pStyle w:val="Heading2"/>
        <w:spacing w:before="200" w:after="80"/>
      </w:pPr>
      <w:r>
        <w:t>3.3. Quy trình thu hồi thẻ khi nghỉ việc</w:t>
      </w:r>
    </w:p>
    <w:p>
      <w:pPr>
        <w:pStyle w:val="ListBullet"/>
        <w:spacing w:after="60"/>
      </w:pPr>
      <w:r>
        <w:t>Thông báo nghỉ việc: Nhân viên cần thông báo trước cho bộ phận nhân sự theo quy định của công ty về việc nghỉ việc.</w:t>
      </w:r>
    </w:p>
    <w:p>
      <w:pPr>
        <w:pStyle w:val="ListBullet"/>
        <w:spacing w:after="60"/>
      </w:pPr>
      <w:r>
        <w:t>Thu hồi thẻ: Bộ phận nhân sự sẽ thu hồi thẻ nhân viên trong ngày làm việc cuối cùng của nhân viên.</w:t>
      </w:r>
    </w:p>
    <w:p>
      <w:pPr>
        <w:pStyle w:val="ListBullet"/>
        <w:spacing w:after="60"/>
      </w:pPr>
      <w:r>
        <w:t>Cập nhật log: Thông tin về việc thu hồi thẻ sẽ được cập nhật vào hệ thống log quản lý thẻ.</w:t>
      </w:r>
    </w:p>
    <w:p>
      <w:pPr>
        <w:pStyle w:val="Heading2"/>
        <w:spacing w:before="200" w:after="80"/>
      </w:pPr>
      <w:r>
        <w:t>3.4. Lưu trữ thông tin và log</w:t>
      </w:r>
    </w:p>
    <w:p>
      <w:pPr>
        <w:pStyle w:val="ListBullet"/>
        <w:spacing w:after="60"/>
      </w:pPr>
      <w:r>
        <w:t>Hệ thống lưu trữ: Tất cả thông tin liên quan đến việc cấp phát và thu hồi thẻ sẽ được lưu trữ trong hệ thống quản lý thẻ.</w:t>
      </w:r>
    </w:p>
    <w:p>
      <w:pPr>
        <w:pStyle w:val="ListBullet"/>
        <w:spacing w:after="60"/>
      </w:pPr>
      <w:r>
        <w:t>Thời gian lưu trữ: Dữ liệu sẽ được lưu trữ tối thiểu trong 5 năm để phục vụ cho việc kiểm tra và đối chiếu.</w:t>
      </w:r>
    </w:p>
    <w:p>
      <w:pPr>
        <w:pStyle w:val="ListBullet"/>
        <w:spacing w:after="60"/>
      </w:pPr>
      <w:r>
        <w:t>Truy cập log: Chỉ những nhân viên có quyền hạn mới được phép truy cập vào log quản lý thẻ.</w:t>
      </w:r>
    </w:p>
    <w:p>
      <w:pPr>
        <w:pStyle w:val="Heading2"/>
        <w:spacing w:before="200" w:after="80"/>
      </w:pPr>
      <w:r>
        <w:t>3.5. Phân loại thẻ theo cấp độ truy cập</w:t>
      </w:r>
    </w:p>
    <w:p>
      <w:pPr>
        <w:pStyle w:val="ListBullet"/>
        <w:spacing w:after="60"/>
      </w:pPr>
      <w:r>
        <w:t>Cấp độ 1: Thẻ nhân viên thông thường, có quyền truy cập vào các khu vực làm việc chung.</w:t>
      </w:r>
    </w:p>
    <w:p>
      <w:pPr>
        <w:pStyle w:val="ListBullet"/>
        <w:spacing w:after="60"/>
      </w:pPr>
      <w:r>
        <w:t>Cấp độ 2: Thẻ nhân viên quản lý, có quyền truy cập vào các khu vực hạn chế hơn như phòng họp và khu vực nhạy cảm.</w:t>
      </w:r>
    </w:p>
    <w:p>
      <w:pPr>
        <w:pStyle w:val="ListBullet"/>
        <w:spacing w:after="60"/>
      </w:pPr>
      <w:r>
        <w:t>Cấp độ 3: Thẻ nhân viên cấp cao, có quyền truy cập vào tất cả các khu vực trong công ty và thông tin nhạy cảm.</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CẤP ĐỘ TRUY CẬP</w:t>
            </w:r>
          </w:p>
        </w:tc>
        <w:tc>
          <w:tcPr>
            <w:tcW w:type="dxa" w:w="3135"/>
          </w:tcPr>
          <w:p>
            <w:r>
              <w:rPr>
                <w:b/>
              </w:rPr>
              <w:t>MÔ TẢ</w:t>
            </w:r>
          </w:p>
        </w:tc>
        <w:tc>
          <w:tcPr>
            <w:tcW w:type="dxa" w:w="3135"/>
          </w:tcPr>
          <w:p>
            <w:r>
              <w:rPr>
                <w:b/>
              </w:rPr>
              <w:t>QUYỀN TRUY CẬP</w:t>
            </w:r>
          </w:p>
        </w:tc>
      </w:tr>
      <w:tr>
        <w:tc>
          <w:tcPr>
            <w:tcW w:type="dxa" w:w="3135"/>
          </w:tcPr>
          <w:p>
            <w:r>
              <w:t>Cấp độ 1</w:t>
            </w:r>
          </w:p>
        </w:tc>
        <w:tc>
          <w:tcPr>
            <w:tcW w:type="dxa" w:w="3135"/>
          </w:tcPr>
          <w:p>
            <w:r>
              <w:t>Thẻ nhân viên thông thường</w:t>
            </w:r>
          </w:p>
        </w:tc>
        <w:tc>
          <w:tcPr>
            <w:tcW w:type="dxa" w:w="3135"/>
          </w:tcPr>
          <w:p>
            <w:r>
              <w:t>Khu vực làm việc chung</w:t>
            </w:r>
          </w:p>
        </w:tc>
      </w:tr>
      <w:tr>
        <w:tc>
          <w:tcPr>
            <w:tcW w:type="dxa" w:w="3135"/>
          </w:tcPr>
          <w:p>
            <w:r>
              <w:t>Cấp độ 2</w:t>
            </w:r>
          </w:p>
        </w:tc>
        <w:tc>
          <w:tcPr>
            <w:tcW w:type="dxa" w:w="3135"/>
          </w:tcPr>
          <w:p>
            <w:r>
              <w:t>Thẻ nhân viên quản lý</w:t>
            </w:r>
          </w:p>
        </w:tc>
        <w:tc>
          <w:tcPr>
            <w:tcW w:type="dxa" w:w="3135"/>
          </w:tcPr>
          <w:p>
            <w:r>
              <w:t>Khu vực hạn chế, phòng họp</w:t>
            </w:r>
          </w:p>
        </w:tc>
      </w:tr>
      <w:tr>
        <w:tc>
          <w:tcPr>
            <w:tcW w:type="dxa" w:w="3135"/>
          </w:tcPr>
          <w:p>
            <w:r>
              <w:t>Cấp độ 3</w:t>
            </w:r>
          </w:p>
        </w:tc>
        <w:tc>
          <w:tcPr>
            <w:tcW w:type="dxa" w:w="3135"/>
          </w:tcPr>
          <w:p>
            <w:r>
              <w:t>Thẻ nhân viên cấp cao</w:t>
            </w:r>
          </w:p>
        </w:tc>
        <w:tc>
          <w:tcPr>
            <w:tcW w:type="dxa" w:w="3135"/>
          </w:tcPr>
          <w:p>
            <w:r>
              <w:t>Tất cả khu vực, thông tin nhạy cảm</w:t>
            </w:r>
          </w:p>
        </w:tc>
      </w:tr>
    </w:tbl>
    <w:p/>
    <w:p>
      <w:pPr>
        <w:pStyle w:val="Heading1"/>
        <w:spacing w:before="280" w:after="120"/>
      </w:pPr>
      <w:r>
        <w:t>IV. TRÁCH NHIỆM CỦA CÁC BỘ PHẬN VÀ CÁ NHÂN</w:t>
      </w:r>
    </w:p>
    <w:p>
      <w:pPr>
        <w:pStyle w:val="ListNumber"/>
        <w:spacing w:after="60"/>
      </w:pPr>
      <w:r>
        <w:t>1. Bộ phận Nhân sự</w:t>
      </w:r>
    </w:p>
    <w:p>
      <w:pPr>
        <w:pStyle w:val="ListBullet"/>
        <w:spacing w:after="60"/>
      </w:pPr>
      <w:r>
        <w:t>Tiếp nhận và xử lý hồ sơ yêu cầu cấp phát/thu hồi thẻ.</w:t>
      </w:r>
    </w:p>
    <w:p>
      <w:pPr>
        <w:pStyle w:val="ListBullet"/>
        <w:spacing w:after="60"/>
      </w:pPr>
      <w:r>
        <w:t>Đảm bảo thông tin cá nhân của nhân viên được bảo mật trong quá trình xử lý.</w:t>
      </w:r>
    </w:p>
    <w:p>
      <w:pPr>
        <w:pStyle w:val="ListBullet"/>
        <w:spacing w:after="60"/>
      </w:pPr>
      <w:r>
        <w:t>Cập nhật log quản lý thẻ kịp thời và chính xác.</w:t>
      </w:r>
    </w:p>
    <w:p>
      <w:pPr>
        <w:pStyle w:val="ListNumber"/>
        <w:spacing w:after="60"/>
      </w:pPr>
      <w:r>
        <w:t>2. Bộ phận IT</w:t>
      </w:r>
    </w:p>
    <w:p>
      <w:pPr>
        <w:pStyle w:val="ListBullet"/>
        <w:spacing w:after="60"/>
      </w:pPr>
      <w:r>
        <w:t>Thiết lập và duy trì hệ thống quản lý thẻ.</w:t>
      </w:r>
    </w:p>
    <w:p>
      <w:pPr>
        <w:pStyle w:val="ListBullet"/>
        <w:spacing w:after="60"/>
      </w:pPr>
      <w:r>
        <w:t>Hỗ trợ kỹ thuật trong quá trình cấp phát và thu hồi thẻ.</w:t>
      </w:r>
    </w:p>
    <w:p>
      <w:pPr>
        <w:pStyle w:val="ListBullet"/>
        <w:spacing w:after="60"/>
      </w:pPr>
      <w:r>
        <w:t>Đảm bảo an ninh thông tin liên quan đến thẻ nhân viên.</w:t>
      </w:r>
    </w:p>
    <w:p>
      <w:pPr>
        <w:pStyle w:val="ListNumber"/>
        <w:spacing w:after="60"/>
      </w:pPr>
      <w:r>
        <w:t>3. Nhân viên</w:t>
      </w:r>
    </w:p>
    <w:p>
      <w:pPr>
        <w:pStyle w:val="ListBullet"/>
        <w:spacing w:after="60"/>
      </w:pPr>
      <w:r>
        <w:t>Tuân thủ quy định về việc sử dụng và bảo quản thẻ.</w:t>
      </w:r>
    </w:p>
    <w:p>
      <w:pPr>
        <w:pStyle w:val="ListBullet"/>
        <w:spacing w:after="60"/>
      </w:pPr>
      <w:r>
        <w:t>Thông báo kịp thời cho bộ phận nhân sự khi thẻ bị hỏng hoặc mất.</w:t>
      </w:r>
    </w:p>
    <w:p>
      <w:pPr>
        <w:pStyle w:val="ListBullet"/>
        <w:spacing w:after="60"/>
      </w:pPr>
      <w:r>
        <w:t>Trả lại thẻ khi nghỉ việc theo quy định.</w:t>
      </w:r>
    </w:p>
    <w:p>
      <w:pPr>
        <w:pStyle w:val="ListNumber"/>
        <w:spacing w:after="60"/>
      </w:pPr>
      <w:r>
        <w:t>4. Ban Giám đốc</w:t>
      </w:r>
    </w:p>
    <w:p>
      <w:pPr>
        <w:pStyle w:val="ListBullet"/>
        <w:spacing w:after="60"/>
      </w:pPr>
      <w:r>
        <w:t>Đưa ra quyết định cuối cùng về việc cấp phát hoặc thu hồi thẻ trong các trường hợp đặc biệt.</w:t>
      </w:r>
    </w:p>
    <w:p>
      <w:pPr>
        <w:pStyle w:val="ListBullet"/>
        <w:spacing w:after="60"/>
      </w:pPr>
      <w:r>
        <w:t>Giám sát việc thực hiện quy định này trong toàn công ty.</w:t>
      </w:r>
    </w:p>
    <w:p>
      <w:pPr>
        <w:pStyle w:val="ListBullet"/>
        <w:spacing w:after="60"/>
      </w:pPr>
      <w:r>
        <w:t>Chỉ đạo các bộ phận liên quan phối hợp thực hiện quy định.</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BỘ PHẬN</w:t>
            </w:r>
          </w:p>
        </w:tc>
        <w:tc>
          <w:tcPr>
            <w:tcW w:type="dxa" w:w="3135"/>
          </w:tcPr>
          <w:p>
            <w:r>
              <w:rPr>
                <w:b/>
              </w:rPr>
              <w:t>TRÁCH NHIỆM</w:t>
            </w:r>
          </w:p>
        </w:tc>
        <w:tc>
          <w:tcPr>
            <w:tcW w:type="dxa" w:w="3135"/>
          </w:tcPr>
          <w:p>
            <w:r>
              <w:rPr>
                <w:b/>
              </w:rPr>
              <w:t>MÔ TẢ</w:t>
            </w:r>
          </w:p>
        </w:tc>
      </w:tr>
      <w:tr>
        <w:tc>
          <w:tcPr>
            <w:tcW w:type="dxa" w:w="3135"/>
          </w:tcPr>
          <w:p>
            <w:r>
              <w:t>Bộ phận Nhân sự</w:t>
            </w:r>
          </w:p>
        </w:tc>
        <w:tc>
          <w:tcPr>
            <w:tcW w:type="dxa" w:w="3135"/>
          </w:tcPr>
          <w:p>
            <w:r>
              <w:t>Tiếp nhận hồ sơ</w:t>
            </w:r>
          </w:p>
        </w:tc>
        <w:tc>
          <w:tcPr>
            <w:tcW w:type="dxa" w:w="3135"/>
          </w:tcPr>
          <w:p>
            <w:r>
              <w:t>Xử lý hồ sơ yêu cầu cấp phát/thu hồi thẻ</w:t>
            </w:r>
          </w:p>
        </w:tc>
      </w:tr>
      <w:tr>
        <w:tc>
          <w:tcPr>
            <w:tcW w:type="dxa" w:w="3135"/>
          </w:tcPr>
          <w:p>
            <w:r>
              <w:t>Bộ phận IT</w:t>
            </w:r>
          </w:p>
        </w:tc>
        <w:tc>
          <w:tcPr>
            <w:tcW w:type="dxa" w:w="3135"/>
          </w:tcPr>
          <w:p>
            <w:r>
              <w:t>Duy trì hệ thống</w:t>
            </w:r>
          </w:p>
        </w:tc>
        <w:tc>
          <w:tcPr>
            <w:tcW w:type="dxa" w:w="3135"/>
          </w:tcPr>
          <w:p>
            <w:r>
              <w:t>Hỗ trợ kỹ thuật và bảo mật thông tin</w:t>
            </w:r>
          </w:p>
        </w:tc>
      </w:tr>
      <w:tr>
        <w:tc>
          <w:tcPr>
            <w:tcW w:type="dxa" w:w="3135"/>
          </w:tcPr>
          <w:p>
            <w:r>
              <w:t>Nhân viên</w:t>
            </w:r>
          </w:p>
        </w:tc>
        <w:tc>
          <w:tcPr>
            <w:tcW w:type="dxa" w:w="3135"/>
          </w:tcPr>
          <w:p>
            <w:r>
              <w:t>Tuân thủ quy định</w:t>
            </w:r>
          </w:p>
        </w:tc>
        <w:tc>
          <w:tcPr>
            <w:tcW w:type="dxa" w:w="3135"/>
          </w:tcPr>
          <w:p>
            <w:r>
              <w:t>Sử dụng, bảo quản và thông báo về thẻ</w:t>
            </w:r>
          </w:p>
        </w:tc>
      </w:tr>
      <w:tr>
        <w:tc>
          <w:tcPr>
            <w:tcW w:type="dxa" w:w="3135"/>
          </w:tcPr>
          <w:p>
            <w:r>
              <w:t>Ban Giám đốc</w:t>
            </w:r>
          </w:p>
        </w:tc>
        <w:tc>
          <w:tcPr>
            <w:tcW w:type="dxa" w:w="3135"/>
          </w:tcPr>
          <w:p>
            <w:r>
              <w:t>Giám sát thực hiện</w:t>
            </w:r>
          </w:p>
        </w:tc>
        <w:tc>
          <w:tcPr>
            <w:tcW w:type="dxa" w:w="3135"/>
          </w:tcPr>
          <w:p>
            <w:r>
              <w:t>Đưa ra quyết định và chỉ đạo thực hiện</w:t>
            </w:r>
          </w:p>
        </w:tc>
      </w:tr>
    </w:tbl>
    <w:p/>
    <w:p>
      <w:pPr>
        <w:pStyle w:val="Heading1"/>
        <w:spacing w:before="280" w:after="120"/>
      </w:pPr>
      <w:r>
        <w:t>V. CHẾ TÀI XỬ LÝ VI PHẠM</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HÀNH VI VI PHẠM</w:t>
            </w:r>
          </w:p>
        </w:tc>
        <w:tc>
          <w:tcPr>
            <w:tcW w:type="dxa" w:w="2351"/>
          </w:tcPr>
          <w:p>
            <w:r>
              <w:rPr>
                <w:b/>
              </w:rPr>
              <w:t>SỐ LẦN VI PHẠM</w:t>
            </w:r>
          </w:p>
        </w:tc>
        <w:tc>
          <w:tcPr>
            <w:tcW w:type="dxa" w:w="2351"/>
          </w:tcPr>
          <w:p>
            <w:r>
              <w:rPr>
                <w:b/>
              </w:rPr>
              <w:t>HÌNH THỨC XỬ LÝ</w:t>
            </w:r>
          </w:p>
        </w:tc>
        <w:tc>
          <w:tcPr>
            <w:tcW w:type="dxa" w:w="2351"/>
          </w:tcPr>
          <w:p>
            <w:r>
              <w:rPr>
                <w:b/>
              </w:rPr>
              <w:t>MỨC TIỀN PHẠT (VNĐ)</w:t>
            </w:r>
          </w:p>
        </w:tc>
      </w:tr>
      <w:tr>
        <w:tc>
          <w:tcPr>
            <w:tcW w:type="dxa" w:w="2351"/>
          </w:tcPr>
          <w:p>
            <w:r>
              <w:t>Sử dụng thẻ không đúng quy định</w:t>
            </w:r>
          </w:p>
        </w:tc>
        <w:tc>
          <w:tcPr>
            <w:tcW w:type="dxa" w:w="2351"/>
          </w:tcPr>
          <w:p>
            <w:r>
              <w:t>1 lần</w:t>
            </w:r>
          </w:p>
        </w:tc>
        <w:tc>
          <w:tcPr>
            <w:tcW w:type="dxa" w:w="2351"/>
          </w:tcPr>
          <w:p>
            <w:r>
              <w:t>Nhắc nhở</w:t>
            </w:r>
          </w:p>
        </w:tc>
        <w:tc>
          <w:tcPr>
            <w:tcW w:type="dxa" w:w="2351"/>
          </w:tcPr>
          <w:p>
            <w:r>
              <w:t>500.000</w:t>
            </w:r>
          </w:p>
        </w:tc>
      </w:tr>
      <w:tr>
        <w:tc>
          <w:tcPr>
            <w:tcW w:type="dxa" w:w="2351"/>
          </w:tcPr>
          <w:p>
            <w:r>
              <w:t>Mất thẻ không báo cáo</w:t>
            </w:r>
          </w:p>
        </w:tc>
        <w:tc>
          <w:tcPr>
            <w:tcW w:type="dxa" w:w="2351"/>
          </w:tcPr>
          <w:p>
            <w:r>
              <w:t>1 lần</w:t>
            </w:r>
          </w:p>
        </w:tc>
        <w:tc>
          <w:tcPr>
            <w:tcW w:type="dxa" w:w="2351"/>
          </w:tcPr>
          <w:p>
            <w:r>
              <w:t>Cảnh cáo</w:t>
            </w:r>
          </w:p>
        </w:tc>
        <w:tc>
          <w:tcPr>
            <w:tcW w:type="dxa" w:w="2351"/>
          </w:tcPr>
          <w:p>
            <w:r>
              <w:t>1.000.000</w:t>
            </w:r>
          </w:p>
        </w:tc>
      </w:tr>
      <w:tr>
        <w:tc>
          <w:tcPr>
            <w:tcW w:type="dxa" w:w="2351"/>
          </w:tcPr>
          <w:p>
            <w:r>
              <w:t>Sử dụng thẻ của người khác</w:t>
            </w:r>
          </w:p>
        </w:tc>
        <w:tc>
          <w:tcPr>
            <w:tcW w:type="dxa" w:w="2351"/>
          </w:tcPr>
          <w:p>
            <w:r>
              <w:t>1 lần</w:t>
            </w:r>
          </w:p>
        </w:tc>
        <w:tc>
          <w:tcPr>
            <w:tcW w:type="dxa" w:w="2351"/>
          </w:tcPr>
          <w:p>
            <w:r>
              <w:t>Đình chỉ công việc</w:t>
            </w:r>
          </w:p>
        </w:tc>
        <w:tc>
          <w:tcPr>
            <w:tcW w:type="dxa" w:w="2351"/>
          </w:tcPr>
          <w:p>
            <w:r>
              <w:t>3.000.000</w:t>
            </w:r>
          </w:p>
        </w:tc>
      </w:tr>
      <w:tr>
        <w:tc>
          <w:tcPr>
            <w:tcW w:type="dxa" w:w="2351"/>
          </w:tcPr>
          <w:p>
            <w:r>
              <w:t>Không trả thẻ khi nghỉ việc</w:t>
            </w:r>
          </w:p>
        </w:tc>
        <w:tc>
          <w:tcPr>
            <w:tcW w:type="dxa" w:w="2351"/>
          </w:tcPr>
          <w:p>
            <w:r>
              <w:t>1 lần</w:t>
            </w:r>
          </w:p>
        </w:tc>
        <w:tc>
          <w:tcPr>
            <w:tcW w:type="dxa" w:w="2351"/>
          </w:tcPr>
          <w:p>
            <w:r>
              <w:t>Xử lý kỷ luật</w:t>
            </w:r>
          </w:p>
        </w:tc>
        <w:tc>
          <w:tcPr>
            <w:tcW w:type="dxa" w:w="2351"/>
          </w:tcPr>
          <w:p>
            <w:r>
              <w:t>2.000.000</w:t>
            </w:r>
          </w:p>
        </w:tc>
      </w:tr>
    </w:tbl>
    <w:p/>
    <w:p>
      <w:pPr>
        <w:pStyle w:val="Heading1"/>
        <w:spacing w:before="280" w:after="120"/>
      </w:pPr>
      <w:r>
        <w:t>VI. ĐIỀU KHOẢN THI HÀNH</w:t>
      </w:r>
    </w:p>
    <w:p>
      <w:pPr>
        <w:spacing w:after="120"/>
      </w:pPr>
      <w:r>
        <w:t>Quy định này có hiệu lực từ ngày 01/07/2026 và sẽ thay thế cho các quy định trước đó liên quan đến việc cấp phát và thu hồi thẻ nhân viên. Tất cả nhân viên trong công ty có trách nhiệm phổ biến quy định này đến các bộ phận và nhân viên liên quan. Mọi thay đổi hoặc sửa đổi quy định sẽ được thông báo bằng văn bản và phải được phê duyệt bởi Ban Giám đốc.</w:t>
      </w:r>
    </w:p>
    <w:p>
      <w:pPr>
        <w:spacing w:after="120"/>
      </w:pPr>
      <w:r>
        <w:t>TP. Ho Chi Minh, ngay 01 tháng 07 năm 2026</w:t>
      </w:r>
    </w:p>
    <w:p>
      <w:pPr>
        <w:pStyle w:val="Heading1"/>
        <w:spacing w:before="280" w:after="120"/>
      </w:pPr>
      <w:r>
        <w:t>GIÁM ĐỐC ĐIỀU HÀNH</w:t>
      </w:r>
    </w:p>
    <w:p>
      <w:pPr>
        <w:spacing w:after="120"/>
      </w:pPr>
      <w:r>
        <w:t>Nguyen Minh Thanh</w:t>
      </w:r>
    </w:p>
    <w:p/>
    <w:p>
      <w:pPr>
        <w:jc w:val="right"/>
      </w:pPr>
      <w:r>
        <w:rPr>
          <w:i/>
        </w:rPr>
        <w:t>TP. Hồ Chí Minh, ngày 01 tháng 07 năm 2026</w:t>
      </w:r>
    </w:p>
    <w:p>
      <w:pPr>
        <w:jc w:val="right"/>
      </w:pPr>
      <w:r>
        <w:rPr>
          <w:b/>
        </w:rPr>
        <w:t>GIÁM ĐỐC ĐIỀU HÀNH</w:t>
      </w:r>
    </w:p>
    <w:p/>
    <w:p/>
    <w:p/>
    <w:p>
      <w:pPr>
        <w:jc w:val="right"/>
      </w:pPr>
      <w:r>
        <w:rPr>
          <w:b/>
        </w:rPr>
        <w:t>Nguyễn Minh Thành</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