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CÔNG TY TNHH CÔNG NGHỆ VSF</w:t>
      </w:r>
    </w:p>
    <w:p>
      <w:pPr>
        <w:jc w:val="center"/>
      </w:pPr>
      <w:r>
        <w:rPr>
          <w:sz w:val="22"/>
        </w:rPr>
        <w:t>Số: VSF/24_QD_XU_PHAT_PHA_HO</w:t>
      </w:r>
    </w:p>
    <w:p/>
    <w:p>
      <w:pPr>
        <w:jc w:val="center"/>
      </w:pPr>
      <w:r>
        <w:rPr>
          <w:b/>
          <w:sz w:val="28"/>
        </w:rPr>
        <w:t>CƠ CHẾ XỬ PHẠT PHÁ HOẠI VÀ LÀM HỎNG TÀI SẢN CÔNG TY</w:t>
      </w:r>
    </w:p>
    <w:p/>
    <w:p>
      <w:pPr>
        <w:pStyle w:val="Heading1"/>
        <w:spacing w:before="280" w:after="120"/>
      </w:pPr>
      <w:r>
        <w:t>CÔNG TY TNHH CÔNG NGHỆ VSF</w:t>
      </w:r>
    </w:p>
    <w:p>
      <w:pPr>
        <w:pStyle w:val="Heading1"/>
        <w:spacing w:before="280" w:after="120"/>
      </w:pPr>
      <w:r>
        <w:t>I. PHẠM VI VÀ ĐỐI TƯỢNG ÁP DỤNG</w:t>
      </w:r>
    </w:p>
    <w:p>
      <w:pPr>
        <w:spacing w:after="120"/>
      </w:pPr>
      <w:r>
        <w:t>Cơ chế xử phạt này áp dụng cho toàn bộ nhân viên của Công ty TNHH Công nghệ VSF, bao gồm tất cả các phòng ban và cá nhân làm việc tại công ty. Phạm vi áp dụng bao gồm tất cả các địa điểm hoạt động của công ty, bao gồm văn phòng chính, các chi nhánh và địa điểm làm việc từ xa của nhân viên. Thời gian áp dụng bắt đầu từ ngày 01 tháng 07 năm 2026 và sẽ tiếp tục có hiệu lực cho đến khi có thông báo mới.</w:t>
      </w:r>
    </w:p>
    <w:p>
      <w:pPr>
        <w:spacing w:after="120"/>
      </w:pPr>
      <w:r>
        <w:t>Đối tượng áp dụng bao gồm tất cả các nhân viên, quản lý, và những người lao động khác liên quan đến công việc tại công ty. Các đối tượng ngoại lệ bao gồm những trường hợp hư hại tài sản do thiên tai, hỏa hoạn, hoặc các tình huống bất khả kháng khác mà nhân viên không thể kiểm soát. Trong trường hợp này, các biện pháp xử lý sẽ không được áp dụng.</w:t>
      </w:r>
    </w:p>
    <w:p>
      <w:pPr>
        <w:pStyle w:val="Heading1"/>
        <w:spacing w:before="280" w:after="120"/>
      </w:pPr>
      <w:r>
        <w:t>II. ĐỊNH NGHĨA VÀ GIẢI THÍCH THUẬT NGỮ</w:t>
      </w:r>
    </w:p>
    <w:p>
      <w:pPr>
        <w:pStyle w:val="ListNumber"/>
        <w:spacing w:after="60"/>
      </w:pPr>
      <w:r>
        <w:t>1. Phá hoại tài sản: Là hành vi cố ý gây ra thiệt hại hoặc làm hỏng tài sản của công ty, bao gồm nhưng không giới hạn ở việc phá hủy thiết bị, tài liệu, hoặc các tài sản khác.</w:t>
      </w:r>
    </w:p>
    <w:p>
      <w:pPr>
        <w:pStyle w:val="ListNumber"/>
        <w:spacing w:after="60"/>
      </w:pPr>
      <w:r>
        <w:t>2. Hỏng hóc tài sản: Là tình trạng tài sản không còn hoạt động bình thường do nguyên nhân chủ quan hoặc khách quan, có thể do sử dụng sai quy cách hoặc bảo quản không đúng cách.</w:t>
      </w:r>
    </w:p>
    <w:p>
      <w:pPr>
        <w:pStyle w:val="ListNumber"/>
        <w:spacing w:after="60"/>
      </w:pPr>
      <w:r>
        <w:t>3. Biên bản xác nhận hỏng hóc: Là văn bản ghi nhận chi tiết về tình trạng hỏng hóc của tài sản, người lập biên bản và các bên liên quan, nhằm làm cơ sở cho việc đánh giá thiệt hại và xử lý.</w:t>
      </w:r>
    </w:p>
    <w:p>
      <w:pPr>
        <w:pStyle w:val="ListNumber"/>
        <w:spacing w:after="60"/>
      </w:pPr>
      <w:r>
        <w:t>4. Định giá thiệt hại: Là quy trình xác định mức độ thiệt hại của tài sản hỏng hóc, dựa trên giá trị thị trường hoặc chi phí sửa chữa.</w:t>
      </w:r>
    </w:p>
    <w:p>
      <w:pPr>
        <w:pStyle w:val="ListNumber"/>
        <w:spacing w:after="60"/>
      </w:pPr>
      <w:r>
        <w:t>5. Quy trình khấu trừ lương: Là phương pháp xử lý tài chính liên quan đến việc trừ một phần tiền lương của nhân viên để bù đắp cho thiệt hại gây ra do hành vi phá hoại hoặc làm hỏng tài sản.</w:t>
      </w:r>
    </w:p>
    <w:p>
      <w:pPr>
        <w:pStyle w:val="ListNumber"/>
        <w:spacing w:after="60"/>
      </w:pPr>
      <w:r>
        <w:t>6. Kỷ luật: Là quy trình xử lý vi phạm nội quy công ty, có thể bao gồm cảnh cáo, khiển trách hoặc các hình thức xử lý khác theo mức độ vi phạm.</w:t>
      </w:r>
    </w:p>
    <w:p>
      <w:pPr>
        <w:pStyle w:val="Heading1"/>
        <w:spacing w:before="280" w:after="120"/>
      </w:pPr>
      <w:r>
        <w:t>III. NỘI DUNG QUY ĐỊNH / QUY TRÌNH CHI TIẾT</w:t>
      </w:r>
    </w:p>
    <w:p>
      <w:pPr>
        <w:pStyle w:val="Heading2"/>
        <w:spacing w:before="200" w:after="80"/>
      </w:pPr>
      <w:r>
        <w:t>3.1 Phân loại tai nạn</w:t>
      </w:r>
    </w:p>
    <w:p>
      <w:pPr>
        <w:pStyle w:val="ListBullet"/>
        <w:spacing w:after="60"/>
      </w:pPr>
      <w:r>
        <w:t>Tai nạn vô ý: Là những sự cố xảy ra không có chủ đích, như hỏng hóc do lỗi kỹ thuật, sử dụng không đúng cách, hoặc do yếu tố khách quan.</w:t>
      </w:r>
    </w:p>
    <w:p>
      <w:pPr>
        <w:pStyle w:val="ListBullet"/>
        <w:spacing w:after="60"/>
      </w:pPr>
      <w:r>
        <w:t>Tai nạn cố ý: Là những hành vi được thực hiện với ý thức gây ra thiệt hại cho tài sản, có thể là hành vi phá hoại, đánh cắp hoặc các hành vi tương tự.</w:t>
      </w:r>
    </w:p>
    <w:p>
      <w:pPr>
        <w:pStyle w:val="ListBullet"/>
        <w:spacing w:after="60"/>
      </w:pPr>
      <w:r>
        <w:t>Quy trình xử lý: Mọi sự cố hỏng hóc tài sản đều phải được lập biên bản xác nhận và phân loại theo từng loại tai nạn để có biện pháp xử lý phù hợp.</w:t>
      </w:r>
    </w:p>
    <w:p>
      <w:pPr>
        <w:pStyle w:val="Heading2"/>
        <w:spacing w:before="200" w:after="80"/>
      </w:pPr>
      <w:r>
        <w:t>3.2 Lập biên bản xác nhận hỏng hóc</w:t>
      </w:r>
    </w:p>
    <w:p>
      <w:pPr>
        <w:pStyle w:val="ListBullet"/>
        <w:spacing w:after="60"/>
      </w:pPr>
      <w:r>
        <w:t>Người phát hiện hỏng hóc có trách nhiệm lập biên bản ngay sau khi phát hiện sự cố.</w:t>
      </w:r>
    </w:p>
    <w:p>
      <w:pPr>
        <w:pStyle w:val="ListBullet"/>
        <w:spacing w:after="60"/>
      </w:pPr>
      <w:r>
        <w:t>Biên bản phải có đầy đủ thông tin về tài sản, tình trạng hỏng hóc, thời gian và địa điểm xảy ra sự cố.</w:t>
      </w:r>
    </w:p>
    <w:p>
      <w:pPr>
        <w:pStyle w:val="ListBullet"/>
        <w:spacing w:after="60"/>
      </w:pPr>
      <w:r>
        <w:t>Biên bản cần có chữ ký của người lập, người quản lý trực tiếp và các bên liên quan để xác nhận tính chính xác của thông tin.</w:t>
      </w:r>
    </w:p>
    <w:p>
      <w:pPr>
        <w:pStyle w:val="Heading2"/>
        <w:spacing w:before="200" w:after="80"/>
      </w:pPr>
      <w:r>
        <w:t>3.3 Định giá thiệt hại</w:t>
      </w:r>
    </w:p>
    <w:p>
      <w:pPr>
        <w:pStyle w:val="ListBullet"/>
        <w:spacing w:after="60"/>
      </w:pPr>
      <w:r>
        <w:t>Định giá sẽ được thực hiện bởi bộ phận tài chính hoặc bộ phận kỹ thuật, tùy thuộc vào loại tài sản bị hỏng hóc.</w:t>
      </w:r>
    </w:p>
    <w:p>
      <w:pPr>
        <w:pStyle w:val="ListBullet"/>
        <w:spacing w:after="60"/>
      </w:pPr>
      <w:r>
        <w:t>Kết quả định giá sẽ được ghi nhận trong biên bản và được thông báo cho các bên liên quan.</w:t>
      </w:r>
    </w:p>
    <w:p>
      <w:pPr>
        <w:pStyle w:val="ListBullet"/>
        <w:spacing w:after="60"/>
      </w:pPr>
      <w:r>
        <w:t>Nếu có tranh chấp về mức độ thiệt hại, công ty sẽ thành lập hội đồng để xem xét và đưa ra quyết định cuối cùng.</w:t>
      </w:r>
    </w:p>
    <w:p>
      <w:pPr>
        <w:pStyle w:val="Heading2"/>
        <w:spacing w:before="200" w:after="80"/>
      </w:pPr>
      <w:r>
        <w:t>3.4 Mức bồi thường</w:t>
      </w:r>
    </w:p>
    <w:p>
      <w:pPr>
        <w:pStyle w:val="ListBullet"/>
        <w:spacing w:after="60"/>
      </w:pPr>
      <w:r>
        <w:t>Mức bồi thường sẽ được xác định dựa trên giá trị thiệt hại đã được định giá.</w:t>
      </w:r>
    </w:p>
    <w:p>
      <w:pPr>
        <w:pStyle w:val="ListBullet"/>
        <w:spacing w:after="60"/>
      </w:pPr>
      <w:r>
        <w:t>Nhân viên có trách nhiệm bồi thường theo mức độ thiệt hại gây ra, tùy thuộc vào tính chất của hành vi.</w:t>
      </w:r>
    </w:p>
    <w:p>
      <w:pPr>
        <w:pStyle w:val="ListBullet"/>
        <w:spacing w:after="60"/>
      </w:pPr>
      <w:r>
        <w:t>Trong trường hợp hỏng hóc do tai nạn vô ý, công ty sẽ xem xét từng trường hợp cụ thể để đưa ra mức bồi thường hợp lý.</w:t>
      </w:r>
    </w:p>
    <w:p>
      <w:pPr>
        <w:pStyle w:val="Heading2"/>
        <w:spacing w:before="200" w:after="80"/>
      </w:pPr>
      <w:r>
        <w:t>3.5 Quy trình khấu trừ lương và kỷ luật</w:t>
      </w:r>
    </w:p>
    <w:p>
      <w:pPr>
        <w:pStyle w:val="ListBullet"/>
        <w:spacing w:after="60"/>
      </w:pPr>
      <w:r>
        <w:t>Sau khi có kết quả định giá thiệt hại, công ty sẽ tiến hành khấu trừ lương của nhân viên theo mức độ thiệt hại.</w:t>
      </w:r>
    </w:p>
    <w:p>
      <w:pPr>
        <w:pStyle w:val="ListBullet"/>
        <w:spacing w:after="60"/>
      </w:pPr>
      <w:r>
        <w:t>Mọi quyết định khấu trừ lương sẽ được thông báo bằng văn bản cho nhân viên và có hiệu lực ngay sau khi thông báo.</w:t>
      </w:r>
    </w:p>
    <w:p>
      <w:pPr>
        <w:pStyle w:val="ListBullet"/>
        <w:spacing w:after="60"/>
      </w:pPr>
      <w:r>
        <w:t>Nếu hành vi vi phạm nghiêm trọng, công ty có quyền áp dụng các hình thức xử lý kỷ luật theo quy định của nội quy công ty.</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rPr>
                <w:b/>
              </w:rPr>
              <w:t>HÀNH VI VI PHẠM</w:t>
            </w:r>
          </w:p>
        </w:tc>
        <w:tc>
          <w:tcPr>
            <w:tcW w:type="dxa" w:w="2351"/>
          </w:tcPr>
          <w:p>
            <w:r>
              <w:rPr>
                <w:b/>
              </w:rPr>
              <w:t>SỐ LẦN VI PHẠM</w:t>
            </w:r>
          </w:p>
        </w:tc>
        <w:tc>
          <w:tcPr>
            <w:tcW w:type="dxa" w:w="2351"/>
          </w:tcPr>
          <w:p>
            <w:r>
              <w:rPr>
                <w:b/>
              </w:rPr>
              <w:t>HÌNH THỨC XỬ LÝ</w:t>
            </w:r>
          </w:p>
        </w:tc>
        <w:tc>
          <w:tcPr>
            <w:tcW w:type="dxa" w:w="2351"/>
          </w:tcPr>
          <w:p>
            <w:r>
              <w:rPr>
                <w:b/>
              </w:rPr>
              <w:t>MỨC TIỀN PHẠT (VNĐ)</w:t>
            </w:r>
          </w:p>
        </w:tc>
      </w:tr>
      <w:tr>
        <w:tc>
          <w:tcPr>
            <w:tcW w:type="dxa" w:w="2351"/>
          </w:tcPr>
          <w:p>
            <w:r>
              <w:t>----------------</w:t>
            </w:r>
          </w:p>
        </w:tc>
        <w:tc>
          <w:tcPr>
            <w:tcW w:type="dxa" w:w="2351"/>
          </w:tcPr>
          <w:p>
            <w:r>
              <w:t>----------------</w:t>
            </w:r>
          </w:p>
        </w:tc>
        <w:tc>
          <w:tcPr>
            <w:tcW w:type="dxa" w:w="2351"/>
          </w:tcPr>
          <w:p>
            <w:r>
              <w:t>----------------</w:t>
            </w:r>
          </w:p>
        </w:tc>
        <w:tc>
          <w:tcPr>
            <w:tcW w:type="dxa" w:w="2351"/>
          </w:tcPr>
          <w:p>
            <w:r>
              <w:t>---------------------</w:t>
            </w:r>
          </w:p>
        </w:tc>
      </w:tr>
      <w:tr>
        <w:tc>
          <w:tcPr>
            <w:tcW w:type="dxa" w:w="2351"/>
          </w:tcPr>
          <w:p>
            <w:r>
              <w:t>Phá hoại tài sản</w:t>
            </w:r>
          </w:p>
        </w:tc>
        <w:tc>
          <w:tcPr>
            <w:tcW w:type="dxa" w:w="2351"/>
          </w:tcPr>
          <w:p>
            <w:r>
              <w:t>1 lần</w:t>
            </w:r>
          </w:p>
        </w:tc>
        <w:tc>
          <w:tcPr>
            <w:tcW w:type="dxa" w:w="2351"/>
          </w:tcPr>
          <w:p>
            <w:r>
              <w:t>Cảnh cáo</w:t>
            </w:r>
          </w:p>
        </w:tc>
        <w:tc>
          <w:tcPr>
            <w:tcW w:type="dxa" w:w="2351"/>
          </w:tcPr>
          <w:p>
            <w:r>
              <w:t>1.000.000</w:t>
            </w:r>
          </w:p>
        </w:tc>
      </w:tr>
      <w:tr>
        <w:tc>
          <w:tcPr>
            <w:tcW w:type="dxa" w:w="2351"/>
          </w:tcPr>
          <w:p>
            <w:r>
              <w:t>Phá hoại tài sản</w:t>
            </w:r>
          </w:p>
        </w:tc>
        <w:tc>
          <w:tcPr>
            <w:tcW w:type="dxa" w:w="2351"/>
          </w:tcPr>
          <w:p>
            <w:r>
              <w:t>2 lần</w:t>
            </w:r>
          </w:p>
        </w:tc>
        <w:tc>
          <w:tcPr>
            <w:tcW w:type="dxa" w:w="2351"/>
          </w:tcPr>
          <w:p>
            <w:r>
              <w:t>Khiển trách</w:t>
            </w:r>
          </w:p>
        </w:tc>
        <w:tc>
          <w:tcPr>
            <w:tcW w:type="dxa" w:w="2351"/>
          </w:tcPr>
          <w:p>
            <w:r>
              <w:t>3.000.000</w:t>
            </w:r>
          </w:p>
        </w:tc>
      </w:tr>
      <w:tr>
        <w:tc>
          <w:tcPr>
            <w:tcW w:type="dxa" w:w="2351"/>
          </w:tcPr>
          <w:p>
            <w:r>
              <w:t>Làm hỏng tài sản</w:t>
            </w:r>
          </w:p>
        </w:tc>
        <w:tc>
          <w:tcPr>
            <w:tcW w:type="dxa" w:w="2351"/>
          </w:tcPr>
          <w:p>
            <w:r>
              <w:t>1 lần</w:t>
            </w:r>
          </w:p>
        </w:tc>
        <w:tc>
          <w:tcPr>
            <w:tcW w:type="dxa" w:w="2351"/>
          </w:tcPr>
          <w:p>
            <w:r>
              <w:t>Khấu trừ lương</w:t>
            </w:r>
          </w:p>
        </w:tc>
        <w:tc>
          <w:tcPr>
            <w:tcW w:type="dxa" w:w="2351"/>
          </w:tcPr>
          <w:p>
            <w:r>
              <w:t>5.000.000</w:t>
            </w:r>
          </w:p>
        </w:tc>
      </w:tr>
      <w:tr>
        <w:tc>
          <w:tcPr>
            <w:tcW w:type="dxa" w:w="2351"/>
          </w:tcPr>
          <w:p>
            <w:r>
              <w:t>Làm hỏng tài sản cố ý</w:t>
            </w:r>
          </w:p>
        </w:tc>
        <w:tc>
          <w:tcPr>
            <w:tcW w:type="dxa" w:w="2351"/>
          </w:tcPr>
          <w:p>
            <w:r>
              <w:t>1 lần</w:t>
            </w:r>
          </w:p>
        </w:tc>
        <w:tc>
          <w:tcPr>
            <w:tcW w:type="dxa" w:w="2351"/>
          </w:tcPr>
          <w:p>
            <w:r>
              <w:t>Sa thải</w:t>
            </w:r>
          </w:p>
        </w:tc>
        <w:tc>
          <w:tcPr>
            <w:tcW w:type="dxa" w:w="2351"/>
          </w:tcPr>
          <w:p>
            <w:r>
              <w:t>10.000.000</w:t>
            </w:r>
          </w:p>
        </w:tc>
      </w:tr>
    </w:tbl>
    <w:p/>
    <w:p>
      <w:pPr>
        <w:pStyle w:val="Heading1"/>
        <w:spacing w:before="280" w:after="120"/>
      </w:pPr>
      <w:r>
        <w:t>IV. TRÁCH NHIỆM CỦA CÁC BỘ PHẬN VÀ CÁ NHÂN</w:t>
      </w:r>
    </w:p>
    <w:tbl>
      <w:tblPr>
        <w:tblStyle w:val="TableGrid"/>
        <w:tblW w:type="auto" w:w="0"/>
        <w:tblLook w:firstColumn="1" w:firstRow="1" w:lastColumn="0" w:lastRow="0" w:noHBand="0" w:noVBand="1" w:val="04A0"/>
      </w:tblPr>
      <w:tblGrid>
        <w:gridCol w:w="4702"/>
        <w:gridCol w:w="4702"/>
      </w:tblGrid>
      <w:tr>
        <w:tc>
          <w:tcPr>
            <w:tcW w:type="dxa" w:w="4702"/>
          </w:tcPr>
          <w:p>
            <w:r>
              <w:rPr>
                <w:b/>
              </w:rPr>
              <w:t>VAI TRÒ/BỘ PHẬN</w:t>
            </w:r>
          </w:p>
        </w:tc>
        <w:tc>
          <w:tcPr>
            <w:tcW w:type="dxa" w:w="4702"/>
          </w:tcPr>
          <w:p>
            <w:r>
              <w:rPr>
                <w:b/>
              </w:rPr>
              <w:t>TRÁCH NHIỆM</w:t>
            </w:r>
          </w:p>
        </w:tc>
      </w:tr>
      <w:tr>
        <w:tc>
          <w:tcPr>
            <w:tcW w:type="dxa" w:w="4702"/>
          </w:tcPr>
          <w:p>
            <w:r>
              <w:t>-----------------</w:t>
            </w:r>
          </w:p>
        </w:tc>
        <w:tc>
          <w:tcPr>
            <w:tcW w:type="dxa" w:w="4702"/>
          </w:tcPr>
          <w:p>
            <w:r>
              <w:t>--------------</w:t>
            </w:r>
          </w:p>
        </w:tc>
      </w:tr>
      <w:tr>
        <w:tc>
          <w:tcPr>
            <w:tcW w:type="dxa" w:w="4702"/>
          </w:tcPr>
          <w:p>
            <w:r>
              <w:t>Nhân viên</w:t>
            </w:r>
          </w:p>
        </w:tc>
        <w:tc>
          <w:tcPr>
            <w:tcW w:type="dxa" w:w="4702"/>
          </w:tcPr>
          <w:p>
            <w:r>
              <w:t>Phát hiện và báo cáo kịp thời các sự cố hỏng hóc tài sản.</w:t>
            </w:r>
          </w:p>
        </w:tc>
      </w:tr>
      <w:tr>
        <w:tc>
          <w:tcPr>
            <w:tcW w:type="dxa" w:w="4702"/>
          </w:tcPr>
          <w:p>
            <w:r>
              <w:t>Quản lý phòng ban</w:t>
            </w:r>
          </w:p>
        </w:tc>
        <w:tc>
          <w:tcPr>
            <w:tcW w:type="dxa" w:w="4702"/>
          </w:tcPr>
          <w:p>
            <w:r>
              <w:t>Giám sát việc sử dụng tài sản và thực hiện kiểm tra định kỳ để phát hiện hư hỏng.</w:t>
            </w:r>
          </w:p>
        </w:tc>
      </w:tr>
      <w:tr>
        <w:tc>
          <w:tcPr>
            <w:tcW w:type="dxa" w:w="4702"/>
          </w:tcPr>
          <w:p>
            <w:r>
              <w:t>Bộ phận tài chính</w:t>
            </w:r>
          </w:p>
        </w:tc>
        <w:tc>
          <w:tcPr>
            <w:tcW w:type="dxa" w:w="4702"/>
          </w:tcPr>
          <w:p>
            <w:r>
              <w:t>Thực hiện quy trình định giá thiệt hại và xử lý khấu trừ lương theo quy định.</w:t>
            </w:r>
          </w:p>
        </w:tc>
      </w:tr>
      <w:tr>
        <w:tc>
          <w:tcPr>
            <w:tcW w:type="dxa" w:w="4702"/>
          </w:tcPr>
          <w:p>
            <w:r>
              <w:t>Bộ phận nhân sự</w:t>
            </w:r>
          </w:p>
        </w:tc>
        <w:tc>
          <w:tcPr>
            <w:tcW w:type="dxa" w:w="4702"/>
          </w:tcPr>
          <w:p>
            <w:r>
              <w:t>Thực hiện quy trình xử lý kỷ luật và lưu trữ hồ sơ liên quan đến vi phạm.</w:t>
            </w:r>
          </w:p>
        </w:tc>
      </w:tr>
    </w:tbl>
    <w:p/>
    <w:p>
      <w:pPr>
        <w:pStyle w:val="Heading1"/>
        <w:spacing w:before="280" w:after="120"/>
      </w:pPr>
      <w:r>
        <w:t>V. CHẾ TÀI XỬ LÝ VI PHẠM</w:t>
      </w:r>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1881"/>
          </w:tcPr>
          <w:p>
            <w:r>
              <w:rPr>
                <w:b/>
              </w:rPr>
              <w:t>MỨC VI PHẠM</w:t>
            </w:r>
          </w:p>
        </w:tc>
        <w:tc>
          <w:tcPr>
            <w:tcW w:type="dxa" w:w="1881"/>
          </w:tcPr>
          <w:p>
            <w:r>
              <w:rPr>
                <w:b/>
              </w:rPr>
              <w:t>HÀNH VI VI PHẠM</w:t>
            </w:r>
          </w:p>
        </w:tc>
        <w:tc>
          <w:tcPr>
            <w:tcW w:type="dxa" w:w="1881"/>
          </w:tcPr>
          <w:p>
            <w:r>
              <w:rPr>
                <w:b/>
              </w:rPr>
              <w:t>SỐ LẦN</w:t>
            </w:r>
          </w:p>
        </w:tc>
        <w:tc>
          <w:tcPr>
            <w:tcW w:type="dxa" w:w="1881"/>
          </w:tcPr>
          <w:p>
            <w:r>
              <w:rPr>
                <w:b/>
              </w:rPr>
              <w:t>HÌNH THỨC XỬ LÝ</w:t>
            </w:r>
          </w:p>
        </w:tc>
        <w:tc>
          <w:tcPr>
            <w:tcW w:type="dxa" w:w="1881"/>
          </w:tcPr>
          <w:p>
            <w:r>
              <w:rPr>
                <w:b/>
              </w:rPr>
              <w:t>MỨC TIỀN PHẠT (VNĐ)</w:t>
            </w:r>
          </w:p>
        </w:tc>
      </w:tr>
      <w:tr>
        <w:tc>
          <w:tcPr>
            <w:tcW w:type="dxa" w:w="1881"/>
          </w:tcPr>
          <w:p>
            <w:r>
              <w:t>--------------</w:t>
            </w:r>
          </w:p>
        </w:tc>
        <w:tc>
          <w:tcPr>
            <w:tcW w:type="dxa" w:w="1881"/>
          </w:tcPr>
          <w:p>
            <w:r>
              <w:t>----------------</w:t>
            </w:r>
          </w:p>
        </w:tc>
        <w:tc>
          <w:tcPr>
            <w:tcW w:type="dxa" w:w="1881"/>
          </w:tcPr>
          <w:p>
            <w:r>
              <w:t>--------</w:t>
            </w:r>
          </w:p>
        </w:tc>
        <w:tc>
          <w:tcPr>
            <w:tcW w:type="dxa" w:w="1881"/>
          </w:tcPr>
          <w:p>
            <w:r>
              <w:t>-----------------</w:t>
            </w:r>
          </w:p>
        </w:tc>
        <w:tc>
          <w:tcPr>
            <w:tcW w:type="dxa" w:w="1881"/>
          </w:tcPr>
          <w:p>
            <w:r>
              <w:t>---------------------</w:t>
            </w:r>
          </w:p>
        </w:tc>
      </w:tr>
      <w:tr>
        <w:tc>
          <w:tcPr>
            <w:tcW w:type="dxa" w:w="1881"/>
          </w:tcPr>
          <w:p>
            <w:r>
              <w:t>1</w:t>
            </w:r>
          </w:p>
        </w:tc>
        <w:tc>
          <w:tcPr>
            <w:tcW w:type="dxa" w:w="1881"/>
          </w:tcPr>
          <w:p>
            <w:r>
              <w:t>Phá hoại tài sản</w:t>
            </w:r>
          </w:p>
        </w:tc>
        <w:tc>
          <w:tcPr>
            <w:tcW w:type="dxa" w:w="1881"/>
          </w:tcPr>
          <w:p>
            <w:r>
              <w:t>1 lần</w:t>
            </w:r>
          </w:p>
        </w:tc>
        <w:tc>
          <w:tcPr>
            <w:tcW w:type="dxa" w:w="1881"/>
          </w:tcPr>
          <w:p>
            <w:r>
              <w:t>Cảnh cáo</w:t>
            </w:r>
          </w:p>
        </w:tc>
        <w:tc>
          <w:tcPr>
            <w:tcW w:type="dxa" w:w="1881"/>
          </w:tcPr>
          <w:p>
            <w:r>
              <w:t>1.000.000</w:t>
            </w:r>
          </w:p>
        </w:tc>
      </w:tr>
      <w:tr>
        <w:tc>
          <w:tcPr>
            <w:tcW w:type="dxa" w:w="1881"/>
          </w:tcPr>
          <w:p>
            <w:r>
              <w:t>2</w:t>
            </w:r>
          </w:p>
        </w:tc>
        <w:tc>
          <w:tcPr>
            <w:tcW w:type="dxa" w:w="1881"/>
          </w:tcPr>
          <w:p>
            <w:r>
              <w:t>Phá hoại tài sản</w:t>
            </w:r>
          </w:p>
        </w:tc>
        <w:tc>
          <w:tcPr>
            <w:tcW w:type="dxa" w:w="1881"/>
          </w:tcPr>
          <w:p>
            <w:r>
              <w:t>2 lần</w:t>
            </w:r>
          </w:p>
        </w:tc>
        <w:tc>
          <w:tcPr>
            <w:tcW w:type="dxa" w:w="1881"/>
          </w:tcPr>
          <w:p>
            <w:r>
              <w:t>Khiển trách</w:t>
            </w:r>
          </w:p>
        </w:tc>
        <w:tc>
          <w:tcPr>
            <w:tcW w:type="dxa" w:w="1881"/>
          </w:tcPr>
          <w:p>
            <w:r>
              <w:t>3.000.000</w:t>
            </w:r>
          </w:p>
        </w:tc>
      </w:tr>
      <w:tr>
        <w:tc>
          <w:tcPr>
            <w:tcW w:type="dxa" w:w="1881"/>
          </w:tcPr>
          <w:p>
            <w:r>
              <w:t>3</w:t>
            </w:r>
          </w:p>
        </w:tc>
        <w:tc>
          <w:tcPr>
            <w:tcW w:type="dxa" w:w="1881"/>
          </w:tcPr>
          <w:p>
            <w:r>
              <w:t>Làm hỏng tài sản</w:t>
            </w:r>
          </w:p>
        </w:tc>
        <w:tc>
          <w:tcPr>
            <w:tcW w:type="dxa" w:w="1881"/>
          </w:tcPr>
          <w:p>
            <w:r>
              <w:t>1 lần</w:t>
            </w:r>
          </w:p>
        </w:tc>
        <w:tc>
          <w:tcPr>
            <w:tcW w:type="dxa" w:w="1881"/>
          </w:tcPr>
          <w:p>
            <w:r>
              <w:t>Khấu trừ lương</w:t>
            </w:r>
          </w:p>
        </w:tc>
        <w:tc>
          <w:tcPr>
            <w:tcW w:type="dxa" w:w="1881"/>
          </w:tcPr>
          <w:p>
            <w:r>
              <w:t>5.000.000</w:t>
            </w:r>
          </w:p>
        </w:tc>
      </w:tr>
      <w:tr>
        <w:tc>
          <w:tcPr>
            <w:tcW w:type="dxa" w:w="1881"/>
          </w:tcPr>
          <w:p>
            <w:r>
              <w:t>4</w:t>
            </w:r>
          </w:p>
        </w:tc>
        <w:tc>
          <w:tcPr>
            <w:tcW w:type="dxa" w:w="1881"/>
          </w:tcPr>
          <w:p>
            <w:r>
              <w:t>Làm hỏng tài sản cố ý</w:t>
            </w:r>
          </w:p>
        </w:tc>
        <w:tc>
          <w:tcPr>
            <w:tcW w:type="dxa" w:w="1881"/>
          </w:tcPr>
          <w:p>
            <w:r>
              <w:t>1 lần</w:t>
            </w:r>
          </w:p>
        </w:tc>
        <w:tc>
          <w:tcPr>
            <w:tcW w:type="dxa" w:w="1881"/>
          </w:tcPr>
          <w:p>
            <w:r>
              <w:t>Sa thải</w:t>
            </w:r>
          </w:p>
        </w:tc>
        <w:tc>
          <w:tcPr>
            <w:tcW w:type="dxa" w:w="1881"/>
          </w:tcPr>
          <w:p>
            <w:r>
              <w:t>10.000.000</w:t>
            </w:r>
          </w:p>
        </w:tc>
      </w:tr>
    </w:tbl>
    <w:p/>
    <w:p>
      <w:pPr>
        <w:pStyle w:val="Heading1"/>
        <w:spacing w:before="280" w:after="120"/>
      </w:pPr>
      <w:r>
        <w:t>VI. ĐIỀU KHOẢN THI HÀNH</w:t>
      </w:r>
    </w:p>
    <w:p>
      <w:pPr>
        <w:spacing w:after="120"/>
      </w:pPr>
      <w:r>
        <w:t>Văn bản này có hiệu lực từ ngày 01 tháng 07 năm 2026. Những quy định, quy chế cũ liên quan đến việc xử phạt phá hoại và làm hỏng tài sản công ty sẽ được bãi bỏ và không còn hiệu lực. Trách nhiệm phổ biến tài liệu này đến toàn bộ nhân viên thuộc Công ty TNHH Công nghệ VSF thuộc về bộ phận nhân sự và quản lý các phòng ban. Mọi thay đổi, sửa đổi hoặc cập nhật liên quan đến quy chế này sẽ được thực hiện thông qua cuộc họp toàn thể nhân viên hoặc thông báo bằng văn bản.</w:t>
      </w:r>
    </w:p>
    <w:p>
      <w:pPr>
        <w:spacing w:after="120"/>
      </w:pPr>
      <w:r>
        <w:t>TP. Ho Chi Minh, ngày 01 tháng 07 năm 2026</w:t>
      </w:r>
    </w:p>
    <w:p>
      <w:pPr>
        <w:pStyle w:val="Heading1"/>
        <w:spacing w:before="280" w:after="120"/>
      </w:pPr>
      <w:r>
        <w:t>GIÁM ĐỐC ĐIỀU HÀNH</w:t>
      </w:r>
    </w:p>
    <w:p>
      <w:pPr>
        <w:spacing w:after="120"/>
      </w:pPr>
      <w:r>
        <w:t>Nguyễn Minh Thanh</w:t>
      </w:r>
    </w:p>
    <w:p/>
    <w:p>
      <w:pPr>
        <w:jc w:val="right"/>
      </w:pPr>
      <w:r>
        <w:rPr>
          <w:i/>
        </w:rPr>
        <w:t>TP. Hồ Chí Minh, ngày 01 tháng 07 năm 2026</w:t>
      </w:r>
    </w:p>
    <w:p>
      <w:pPr>
        <w:jc w:val="right"/>
      </w:pPr>
      <w:r>
        <w:rPr>
          <w:b/>
        </w:rPr>
        <w:t>GIÁM ĐỐC ĐIỀU HÀNH</w:t>
      </w:r>
    </w:p>
    <w:p/>
    <w:p/>
    <w:p/>
    <w:p>
      <w:pPr>
        <w:jc w:val="right"/>
      </w:pPr>
      <w:r>
        <w:rPr>
          <w:b/>
        </w:rPr>
        <w:t>Nguyễn Minh Thành</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