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VSF/28_QT_XIN_NGHI_PHEP_</w:t>
      </w:r>
    </w:p>
    <w:p/>
    <w:p>
      <w:pPr>
        <w:jc w:val="center"/>
      </w:pPr>
      <w:r>
        <w:rPr>
          <w:b/>
          <w:sz w:val="28"/>
        </w:rPr>
        <w:t>QUY TRÌNH ĐĂNG KÝ VÀ PHÊ DUYỆT NGHỈ PHÉP NĂM</w:t>
      </w:r>
    </w:p>
    <w:p/>
    <w:p>
      <w:pPr>
        <w:pStyle w:val="Heading1"/>
        <w:spacing w:before="280" w:after="120"/>
      </w:pPr>
      <w:r>
        <w:t>I. PHẠM VI VÀ ĐỐI TƯỢNG ÁP DỤNG</w:t>
      </w:r>
    </w:p>
    <w:p>
      <w:pPr>
        <w:spacing w:after="120"/>
      </w:pPr>
      <w:r>
        <w:t>Quy trình đăng ký và phê duyệt nghỉ phép năm tại Công ty TNHH Công nghệ VSF áp dụng cho tất cả nhân viên đang công tác tại công ty, bao gồm cả nhân viên chính thức và nhân viên thử việc có thời gian làm việc từ 6 tháng trở lên. Quy định này có hiệu lực từ ngày 01 tháng 07 năm 2026 và sẽ được áp dụng cho mọi nhân viên tại các phòng ban trong công ty. Đối với những nhân viên có thời gian làm việc dưới 6 tháng, quy trình này sẽ không áp dụng, tuy nhiên, công ty sẽ có các quy định riêng cho việc nghỉ phép của nhóm nhân viên này. Quy trình cũng áp dụng cho các trường hợp nghỉ phép vì lý do cá nhân, sức khỏe hoặc các vấn đề khác liên quan đến cuộc sống cá nhân. Mọi nhân viên đều phải tuân thủ quy trình này để đảm bảo sự thống nhất và công bằng trong việc nghỉ phép.</w:t>
      </w:r>
    </w:p>
    <w:p>
      <w:pPr>
        <w:pStyle w:val="Heading1"/>
        <w:spacing w:before="280" w:after="120"/>
      </w:pPr>
      <w:r>
        <w:t>II. ĐỊNH NGHĨA VÀ GIẢI THÍCH THUẬT NGỮ</w:t>
      </w:r>
    </w:p>
    <w:p>
      <w:pPr>
        <w:pStyle w:val="ListNumber"/>
        <w:spacing w:after="60"/>
      </w:pPr>
      <w:r>
        <w:t>1. Nghỉ phép năm: Là thời gian nghỉ làm việc mà nhân viên được hưởng lương trong một năm, theo quy định của công ty và luật lao động. Thời gian nghỉ phép năm phụ thuộc vào thâm niên làm việc của nhân viên.</w:t>
      </w:r>
    </w:p>
    <w:p>
      <w:pPr>
        <w:pStyle w:val="ListNumber"/>
        <w:spacing w:after="60"/>
      </w:pPr>
      <w:r>
        <w:t>2. Đơn xin nghỉ phép: Là tài liệu mà nhân viên cần điền và nộp cho quản lý trực tiếp để xin phép nghỉ làm việc. Đơn này bao gồm thông tin về thời gian nghỉ, lý do nghỉ và các thông tin khác theo yêu cầu.</w:t>
      </w:r>
    </w:p>
    <w:p>
      <w:pPr>
        <w:pStyle w:val="ListNumber"/>
        <w:spacing w:after="60"/>
      </w:pPr>
      <w:r>
        <w:t>3. Phê duyệt nghỉ phép: Là quá trình xem xét và chấp thuận đơn xin nghỉ phép của nhân viên bởi quản lý trực tiếp hoặc người có thẩm quyền trong công ty.</w:t>
      </w:r>
    </w:p>
    <w:p>
      <w:pPr>
        <w:pStyle w:val="ListNumber"/>
        <w:spacing w:after="60"/>
      </w:pPr>
      <w:r>
        <w:t>4. Chính sách dồn phép: Là quy định cho phép nhân viên được gộp số ngày phép chưa sử dụng vào năm tiếp theo, nhằm tạo điều kiện cho nhân viên có thể nghỉ phép dài hơn trong những trường hợp cần thiết.</w:t>
      </w:r>
    </w:p>
    <w:p>
      <w:pPr>
        <w:pStyle w:val="ListNumber"/>
        <w:spacing w:after="60"/>
      </w:pPr>
      <w:r>
        <w:t>5. Thanh toán phép chưa dùng: Là quy định về việc chi trả số tiền tương ứng với số ngày phép mà nhân viên chưa sử dụng khi nghỉ việc hoặc thôi việc tại công ty.</w:t>
      </w:r>
    </w:p>
    <w:p>
      <w:pPr>
        <w:pStyle w:val="ListNumber"/>
        <w:spacing w:after="60"/>
      </w:pPr>
      <w:r>
        <w:t>6. Thời gian nộp đơn: Là khoảng thời gian tối thiểu mà nhân viên cần phải nộp đơn xin nghỉ phép trước khi ngày nghỉ bắt đầu, nhằm giúp quản lý có đủ thời gian xem xét và phê duyệt.</w:t>
      </w:r>
    </w:p>
    <w:p>
      <w:pPr>
        <w:pStyle w:val="Heading1"/>
        <w:spacing w:before="280" w:after="120"/>
      </w:pPr>
      <w:r>
        <w:t>III. NỘI DUNG QUY ĐỊNH / QUY TRÌNH CHI TIẾT</w:t>
      </w:r>
    </w:p>
    <w:p>
      <w:pPr>
        <w:pStyle w:val="Heading2"/>
        <w:spacing w:before="200" w:after="80"/>
      </w:pPr>
      <w:r>
        <w:t>3.1. Quy định về số ngày phép năm</w:t>
      </w:r>
    </w:p>
    <w:p>
      <w:pPr>
        <w:pStyle w:val="ListBullet"/>
        <w:spacing w:after="60"/>
      </w:pPr>
      <w:r>
        <w:t>Nhân viên có thời gian làm việc từ 1 đến 5 năm sẽ được hưởng 12 ngày phép năm.</w:t>
      </w:r>
    </w:p>
    <w:p>
      <w:pPr>
        <w:pStyle w:val="ListBullet"/>
        <w:spacing w:after="60"/>
      </w:pPr>
      <w:r>
        <w:t>Nhân viên có thời gian làm việc từ 6 đến 10 năm sẽ được hưởng 14 ngày phép năm.</w:t>
      </w:r>
    </w:p>
    <w:p>
      <w:pPr>
        <w:pStyle w:val="ListBullet"/>
        <w:spacing w:after="60"/>
      </w:pPr>
      <w:r>
        <w:t>Nhân viên có thời gian làm việc từ 11 năm trở lên sẽ được hưởng 16 ngày phép năm.</w:t>
      </w:r>
    </w:p>
    <w:p>
      <w:pPr>
        <w:pStyle w:val="Heading2"/>
        <w:spacing w:before="200" w:after="80"/>
      </w:pPr>
      <w:r>
        <w:t>3.2. Thời gian nộp đơn xin nghỉ phép</w:t>
      </w:r>
    </w:p>
    <w:p>
      <w:pPr>
        <w:pStyle w:val="ListBullet"/>
        <w:spacing w:after="60"/>
      </w:pPr>
      <w:r>
        <w:t>Nhân viên phải nộp đơn xin nghỉ phép ít nhất 5 ngày làm việc trước ngày nghỉ dự kiến.</w:t>
      </w:r>
    </w:p>
    <w:p>
      <w:pPr>
        <w:pStyle w:val="ListBullet"/>
        <w:spacing w:after="60"/>
      </w:pPr>
      <w:r>
        <w:t>Trong trường hợp nghỉ phép đột xuất, nhân viên cần thông báo cho quản lý càng sớm càng tốt.</w:t>
      </w:r>
    </w:p>
    <w:p>
      <w:pPr>
        <w:pStyle w:val="ListBullet"/>
        <w:spacing w:after="60"/>
      </w:pPr>
      <w:r>
        <w:t>Đơn xin nghỉ phép cần được nộp qua hệ thống quản lý nhân sự của công ty.</w:t>
      </w:r>
    </w:p>
    <w:p>
      <w:pPr>
        <w:pStyle w:val="Heading2"/>
        <w:spacing w:before="200" w:after="80"/>
      </w:pPr>
      <w:r>
        <w:t>3.3. Quy trình phê duyệt đơn xin nghỉ phép</w:t>
      </w:r>
    </w:p>
    <w:p>
      <w:pPr>
        <w:pStyle w:val="ListBullet"/>
        <w:spacing w:after="60"/>
      </w:pPr>
      <w:r>
        <w:t>Quản lý trực tiếp có trách nhiệm xem xét và phê duyệt đơn xin nghỉ phép trong vòng 3 ngày làm việc.</w:t>
      </w:r>
    </w:p>
    <w:p>
      <w:pPr>
        <w:pStyle w:val="ListBullet"/>
        <w:spacing w:after="60"/>
      </w:pPr>
      <w:r>
        <w:t>Nếu đơn xin nghỉ phép không được phê duyệt, quản lý cần thông báo lý do cho nhân viên càng sớm càng tốt.</w:t>
      </w:r>
    </w:p>
    <w:p>
      <w:pPr>
        <w:pStyle w:val="ListBullet"/>
        <w:spacing w:after="60"/>
      </w:pPr>
      <w:r>
        <w:t>Nhân viên có quyền khiếu nại nếu không đồng ý với quyết định phê duyệt.</w:t>
      </w:r>
    </w:p>
    <w:p>
      <w:pPr>
        <w:pStyle w:val="Heading2"/>
        <w:spacing w:before="200" w:after="80"/>
      </w:pPr>
      <w:r>
        <w:t>3.4. Chính sách dồn phép</w:t>
      </w:r>
    </w:p>
    <w:p>
      <w:pPr>
        <w:pStyle w:val="ListBullet"/>
        <w:spacing w:after="60"/>
      </w:pPr>
      <w:r>
        <w:t>Nhân viên có thể dồn tối đa 5 ngày phép chưa sử dụng sang năm tiếp theo.</w:t>
      </w:r>
    </w:p>
    <w:p>
      <w:pPr>
        <w:pStyle w:val="ListBullet"/>
        <w:spacing w:after="60"/>
      </w:pPr>
      <w:r>
        <w:t>Số ngày phép dồn sẽ không được cộng dồn qua nhiều năm liên tiếp.</w:t>
      </w:r>
    </w:p>
    <w:p>
      <w:pPr>
        <w:pStyle w:val="ListBullet"/>
        <w:spacing w:after="60"/>
      </w:pPr>
      <w:r>
        <w:t>Nhân viên phải thông báo cho bộ phận nhân sự về việc dồn phép trước khi kết thúc năm tài chính.</w:t>
      </w:r>
    </w:p>
    <w:p>
      <w:pPr>
        <w:pStyle w:val="Heading2"/>
        <w:spacing w:before="200" w:after="80"/>
      </w:pPr>
      <w:r>
        <w:t>3.5. Thanh toán phép chưa dùng khi nghỉ việc</w:t>
      </w:r>
    </w:p>
    <w:p>
      <w:pPr>
        <w:pStyle w:val="ListBullet"/>
        <w:spacing w:after="60"/>
      </w:pPr>
      <w:r>
        <w:t>Nhân viên nghỉ việc sẽ được thanh toán số ngày phép chưa sử dụng theo quy định của công ty.</w:t>
      </w:r>
    </w:p>
    <w:p>
      <w:pPr>
        <w:pStyle w:val="ListBullet"/>
        <w:spacing w:after="60"/>
      </w:pPr>
      <w:r>
        <w:t>Việc thanh toán sẽ được thực hiện trong kỳ lương cuối cùng của nhân viên.</w:t>
      </w:r>
    </w:p>
    <w:p>
      <w:pPr>
        <w:pStyle w:val="ListBullet"/>
        <w:spacing w:after="60"/>
      </w:pPr>
      <w:r>
        <w:t>Nhân viên cần hoàn tất các thủ tục nghỉ việc theo yêu cầu của công ty để được thanh toán.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LOẠI NGHỈ</w:t>
            </w:r>
          </w:p>
        </w:tc>
        <w:tc>
          <w:tcPr>
            <w:tcW w:type="dxa" w:w="2351"/>
          </w:tcPr>
          <w:p>
            <w:r>
              <w:rPr>
                <w:b/>
              </w:rPr>
              <w:t>SỐ NGÀY PHÉP</w:t>
            </w:r>
          </w:p>
        </w:tc>
        <w:tc>
          <w:tcPr>
            <w:tcW w:type="dxa" w:w="2351"/>
          </w:tcPr>
          <w:p>
            <w:r>
              <w:rPr>
                <w:b/>
              </w:rPr>
              <w:t>THỜI GIAN NỘP ĐƠN</w:t>
            </w:r>
          </w:p>
        </w:tc>
        <w:tc>
          <w:tcPr>
            <w:tcW w:type="dxa" w:w="2351"/>
          </w:tcPr>
          <w:p>
            <w:r>
              <w:rPr>
                <w:b/>
              </w:rPr>
              <w:t>PHÊ DUYỆT BỞI</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Nghỉ phép năm</w:t>
            </w:r>
          </w:p>
        </w:tc>
        <w:tc>
          <w:tcPr>
            <w:tcW w:type="dxa" w:w="2351"/>
          </w:tcPr>
          <w:p>
            <w:r>
              <w:t>12 ngày</w:t>
            </w:r>
          </w:p>
        </w:tc>
        <w:tc>
          <w:tcPr>
            <w:tcW w:type="dxa" w:w="2351"/>
          </w:tcPr>
          <w:p>
            <w:r>
              <w:t>5 ngày làm việc</w:t>
            </w:r>
          </w:p>
        </w:tc>
        <w:tc>
          <w:tcPr>
            <w:tcW w:type="dxa" w:w="2351"/>
          </w:tcPr>
          <w:p>
            <w:r>
              <w:t>Quản lý trực tiếp</w:t>
            </w:r>
          </w:p>
        </w:tc>
      </w:tr>
      <w:tr>
        <w:tc>
          <w:tcPr>
            <w:tcW w:type="dxa" w:w="2351"/>
          </w:tcPr>
          <w:p>
            <w:r>
              <w:t>Nghỉ phép năm</w:t>
            </w:r>
          </w:p>
        </w:tc>
        <w:tc>
          <w:tcPr>
            <w:tcW w:type="dxa" w:w="2351"/>
          </w:tcPr>
          <w:p>
            <w:r>
              <w:t>14 ngày</w:t>
            </w:r>
          </w:p>
        </w:tc>
        <w:tc>
          <w:tcPr>
            <w:tcW w:type="dxa" w:w="2351"/>
          </w:tcPr>
          <w:p>
            <w:r>
              <w:t>5 ngày làm việc</w:t>
            </w:r>
          </w:p>
        </w:tc>
        <w:tc>
          <w:tcPr>
            <w:tcW w:type="dxa" w:w="2351"/>
          </w:tcPr>
          <w:p>
            <w:r>
              <w:t>Quản lý trực tiếp</w:t>
            </w:r>
          </w:p>
        </w:tc>
      </w:tr>
      <w:tr>
        <w:tc>
          <w:tcPr>
            <w:tcW w:type="dxa" w:w="2351"/>
          </w:tcPr>
          <w:p>
            <w:r>
              <w:t>Nghỉ phép năm</w:t>
            </w:r>
          </w:p>
        </w:tc>
        <w:tc>
          <w:tcPr>
            <w:tcW w:type="dxa" w:w="2351"/>
          </w:tcPr>
          <w:p>
            <w:r>
              <w:t>16 ngày</w:t>
            </w:r>
          </w:p>
        </w:tc>
        <w:tc>
          <w:tcPr>
            <w:tcW w:type="dxa" w:w="2351"/>
          </w:tcPr>
          <w:p>
            <w:r>
              <w:t>5 ngày làm việc</w:t>
            </w:r>
          </w:p>
        </w:tc>
        <w:tc>
          <w:tcPr>
            <w:tcW w:type="dxa" w:w="2351"/>
          </w:tcPr>
          <w:p>
            <w:r>
              <w:t>Quản lý trực tiếp</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w:t>
            </w:r>
          </w:p>
        </w:tc>
        <w:tc>
          <w:tcPr>
            <w:tcW w:type="dxa" w:w="4702"/>
          </w:tcPr>
          <w:p>
            <w:r>
              <w:t>-----------------</w:t>
            </w:r>
          </w:p>
        </w:tc>
      </w:tr>
      <w:tr>
        <w:tc>
          <w:tcPr>
            <w:tcW w:type="dxa" w:w="4702"/>
          </w:tcPr>
          <w:p>
            <w:r>
              <w:t>Nhân viên</w:t>
            </w:r>
          </w:p>
        </w:tc>
        <w:tc>
          <w:tcPr>
            <w:tcW w:type="dxa" w:w="4702"/>
          </w:tcPr>
          <w:p>
            <w:r>
              <w:t>Nộp đơn xin nghỉ phép đầy đủ và đúng thời hạn; Thông báo lý do nghỉ phép rõ ràng; Tuân thủ quy trình và chính sách nghỉ phép.</w:t>
            </w:r>
          </w:p>
        </w:tc>
      </w:tr>
      <w:tr>
        <w:tc>
          <w:tcPr>
            <w:tcW w:type="dxa" w:w="4702"/>
          </w:tcPr>
          <w:p>
            <w:r>
              <w:t>Quản lý</w:t>
            </w:r>
          </w:p>
        </w:tc>
        <w:tc>
          <w:tcPr>
            <w:tcW w:type="dxa" w:w="4702"/>
          </w:tcPr>
          <w:p>
            <w:r>
              <w:t>Xem xét và phê duyệt đơn xin nghỉ phép; Thông báo quyết định đến nhân viên kịp thời; Quản lý số ngày phép của nhân viên trong bộ phận.</w:t>
            </w:r>
          </w:p>
        </w:tc>
      </w:tr>
      <w:tr>
        <w:tc>
          <w:tcPr>
            <w:tcW w:type="dxa" w:w="4702"/>
          </w:tcPr>
          <w:p>
            <w:r>
              <w:t>Bộ phận nhân sự</w:t>
            </w:r>
          </w:p>
        </w:tc>
        <w:tc>
          <w:tcPr>
            <w:tcW w:type="dxa" w:w="4702"/>
          </w:tcPr>
          <w:p>
            <w:r>
              <w:t>Cập nhật thông tin nghỉ phép vào hệ thống quản lý; Hướng dẫn nhân viên về quy trình nghỉ phép; Thực hiện thanh toán phép chưa dùng cho nhân viên nghỉ việc.</w:t>
            </w:r>
          </w:p>
        </w:tc>
      </w:tr>
      <w:tr>
        <w:tc>
          <w:tcPr>
            <w:tcW w:type="dxa" w:w="4702"/>
          </w:tcPr>
          <w:p>
            <w:r>
              <w:t>Giám đốc</w:t>
            </w:r>
          </w:p>
        </w:tc>
        <w:tc>
          <w:tcPr>
            <w:tcW w:type="dxa" w:w="4702"/>
          </w:tcPr>
          <w:p>
            <w:r>
              <w:t>Đảm bảo quy trình nghỉ phép được thực hiện đúng theo quy định; Xem xét các khiếu nại liên quan đến việc phê duyệt nghỉ phép; Cập nhật và điều chỉnh quy định nếu cần thiết.</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Nộp đơn muộn</w:t>
            </w:r>
          </w:p>
        </w:tc>
        <w:tc>
          <w:tcPr>
            <w:tcW w:type="dxa" w:w="2351"/>
          </w:tcPr>
          <w:p>
            <w:r>
              <w:t>1 lần</w:t>
            </w:r>
          </w:p>
        </w:tc>
        <w:tc>
          <w:tcPr>
            <w:tcW w:type="dxa" w:w="2351"/>
          </w:tcPr>
          <w:p>
            <w:r>
              <w:t>Nhắc nhở</w:t>
            </w:r>
          </w:p>
        </w:tc>
        <w:tc>
          <w:tcPr>
            <w:tcW w:type="dxa" w:w="2351"/>
          </w:tcPr>
          <w:p>
            <w:r>
              <w:t>500.000</w:t>
            </w:r>
          </w:p>
        </w:tc>
      </w:tr>
      <w:tr>
        <w:tc>
          <w:tcPr>
            <w:tcW w:type="dxa" w:w="2351"/>
          </w:tcPr>
          <w:p>
            <w:r>
              <w:t>Nộp đơn không rõ ràng</w:t>
            </w:r>
          </w:p>
        </w:tc>
        <w:tc>
          <w:tcPr>
            <w:tcW w:type="dxa" w:w="2351"/>
          </w:tcPr>
          <w:p>
            <w:r>
              <w:t>1 lần</w:t>
            </w:r>
          </w:p>
        </w:tc>
        <w:tc>
          <w:tcPr>
            <w:tcW w:type="dxa" w:w="2351"/>
          </w:tcPr>
          <w:p>
            <w:r>
              <w:t>Nhắc nhở</w:t>
            </w:r>
          </w:p>
        </w:tc>
        <w:tc>
          <w:tcPr>
            <w:tcW w:type="dxa" w:w="2351"/>
          </w:tcPr>
          <w:p>
            <w:r>
              <w:t>500.000</w:t>
            </w:r>
          </w:p>
        </w:tc>
      </w:tr>
      <w:tr>
        <w:tc>
          <w:tcPr>
            <w:tcW w:type="dxa" w:w="2351"/>
          </w:tcPr>
          <w:p>
            <w:r>
              <w:t>Nghỉ không phép</w:t>
            </w:r>
          </w:p>
        </w:tc>
        <w:tc>
          <w:tcPr>
            <w:tcW w:type="dxa" w:w="2351"/>
          </w:tcPr>
          <w:p>
            <w:r>
              <w:t>1 lần</w:t>
            </w:r>
          </w:p>
        </w:tc>
        <w:tc>
          <w:tcPr>
            <w:tcW w:type="dxa" w:w="2351"/>
          </w:tcPr>
          <w:p>
            <w:r>
              <w:t>Kỷ luật khiển trách</w:t>
            </w:r>
          </w:p>
        </w:tc>
        <w:tc>
          <w:tcPr>
            <w:tcW w:type="dxa" w:w="2351"/>
          </w:tcPr>
          <w:p>
            <w:r>
              <w:t>1.000.000</w:t>
            </w:r>
          </w:p>
        </w:tc>
      </w:tr>
      <w:tr>
        <w:tc>
          <w:tcPr>
            <w:tcW w:type="dxa" w:w="2351"/>
          </w:tcPr>
          <w:p>
            <w:r>
              <w:t>Vi phạm chính sách dồn phép</w:t>
            </w:r>
          </w:p>
        </w:tc>
        <w:tc>
          <w:tcPr>
            <w:tcW w:type="dxa" w:w="2351"/>
          </w:tcPr>
          <w:p>
            <w:r>
              <w:t>1 lần</w:t>
            </w:r>
          </w:p>
        </w:tc>
        <w:tc>
          <w:tcPr>
            <w:tcW w:type="dxa" w:w="2351"/>
          </w:tcPr>
          <w:p>
            <w:r>
              <w:t>Kỷ luật cảnh cáo</w:t>
            </w:r>
          </w:p>
        </w:tc>
        <w:tc>
          <w:tcPr>
            <w:tcW w:type="dxa" w:w="2351"/>
          </w:tcPr>
          <w:p>
            <w:r>
              <w:t>1.500.000</w:t>
            </w:r>
          </w:p>
        </w:tc>
      </w:tr>
    </w:tbl>
    <w:p/>
    <w:p>
      <w:pPr>
        <w:pStyle w:val="Heading1"/>
        <w:spacing w:before="280" w:after="120"/>
      </w:pPr>
      <w:r>
        <w:t>VI. ĐIỀU KHOẢN THI HÀNH</w:t>
      </w:r>
    </w:p>
    <w:p>
      <w:pPr>
        <w:spacing w:after="120"/>
      </w:pPr>
      <w:r>
        <w:t>Quy trình này có hiệu lực từ ngày 01 tháng 07 năm 2026. Tất cả các quy định trước đây liên quan đến quy trình nghỉ phép năm sẽ được bãi bỏ. Bộ phận nhân sự có trách nhiệm phổ biến quy trình này đến tất cả nhân viên trong công ty và đảm bảo rằng mọi người đều nắm rõ thông tin. Bất kỳ sự thay đổi nào đối với quy trình này sẽ được xem xét và cập nhật theo nhu cầu thực tế của công ty và sẽ được thông báo tới tất cả nhân viên kịp thời.</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