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VSF/29_QT_NGHI_OM_NGHI_K</w:t>
      </w:r>
    </w:p>
    <w:p/>
    <w:p>
      <w:pPr>
        <w:jc w:val="center"/>
      </w:pPr>
      <w:r>
        <w:rPr>
          <w:b/>
          <w:sz w:val="28"/>
        </w:rPr>
        <w:t>QUY TRÌNH XIN NGHỈ ỐM, NGHỈ BỆNH VÀ NGHỈ KHÔNG LƯƠNG</w:t>
      </w:r>
    </w:p>
    <w:p/>
    <w:p>
      <w:pPr>
        <w:pStyle w:val="Heading1"/>
        <w:spacing w:before="280" w:after="120"/>
      </w:pPr>
      <w:r>
        <w:t>CÔNG TY TNHH CÔNG NGHỆ VSF</w:t>
      </w:r>
    </w:p>
    <w:p>
      <w:pPr>
        <w:spacing w:after="120"/>
      </w:pPr>
      <w:r>
        <w:t>Địa chỉ: [Địa chỉ công ty] Số điện thoại: [Số điện thoại] Email: [Email công ty]</w:t>
      </w:r>
    </w:p>
    <w:p>
      <w:pPr>
        <w:pStyle w:val="Heading1"/>
        <w:spacing w:before="280" w:after="120"/>
      </w:pPr>
      <w:r>
        <w:t>I. PHẠM VI VÀ ĐỐI TƯỢNG ÁP DỤNG</w:t>
      </w:r>
    </w:p>
    <w:p>
      <w:pPr>
        <w:spacing w:after="120"/>
      </w:pPr>
      <w:r>
        <w:t>Quy trình này áp dụng cho toàn bộ nhân viên đang làm việc tại Công ty TNHH Công nghệ VSF, bao gồm cả nhân viên chính thức, hợp đồng và thực tập sinh. Quy trình có hiệu lực từ ngày 01 tháng 07 năm 2026. Các nhân viên làm việc tại các chi nhánh hoặc văn phòng đại diện của công ty cũng phải tuân thủ quy trình này. Đối tượng ngoại lệ là các nhân viên đang trong thời gian thử việc, nếu không có thỏa thuận khác, sẽ không được hưởng chế độ nghỉ ốm có lương. Tất cả các nhân viên đều có quyền xin nghỉ ốm, nghỉ bệnh và nghỉ không lương, nhưng phải tuân thủ các quy định trong quy trình để đảm bảo quyền lợi của bản thân cũng như sự hoạt động hiệu quả của công ty.</w:t>
      </w:r>
    </w:p>
    <w:p>
      <w:pPr>
        <w:pStyle w:val="Heading1"/>
        <w:spacing w:before="280" w:after="120"/>
      </w:pPr>
      <w:r>
        <w:t>II. ĐỊNH NGHĨA VÀ GIẢI THÍCH THUẬT NGỮ</w:t>
      </w:r>
    </w:p>
    <w:p>
      <w:pPr>
        <w:pStyle w:val="ListNumber"/>
        <w:spacing w:after="60"/>
      </w:pPr>
      <w:r>
        <w:t>1. Nghỉ ốm: Là khoảng thời gian một nhân viên không thể làm việc do lý do sức khỏe, được xác nhận bởi bác sĩ hoặc cơ sở y tế có thẩm quyền. Thời gian nghỉ ốm có thể từ 1 đến 30 ngày tùy thuộc vào tình trạng bệnh lý.</w:t>
      </w:r>
    </w:p>
    <w:p>
      <w:pPr>
        <w:pStyle w:val="ListNumber"/>
        <w:spacing w:after="60"/>
      </w:pPr>
      <w:r>
        <w:t>2. Nghỉ bệnh: Là hình thức nghỉ việc do các bệnh lý nghiêm trọng hơn, cần phải điều trị dài ngày. Nghỉ bệnh sẽ cần có giấy chứng nhận y tế và có thể kéo dài hơn 30 ngày.</w:t>
      </w:r>
    </w:p>
    <w:p>
      <w:pPr>
        <w:pStyle w:val="ListNumber"/>
        <w:spacing w:after="60"/>
      </w:pPr>
      <w:r>
        <w:t>3. Nghỉ không lương: Là hình thức nghỉ việc mà nhân viên không được thanh toán lương trong thời gian nghỉ. Thời gian nghỉ không lương tối đa là 2 tháng và nhân viên cần phải có lý do chính đáng.</w:t>
      </w:r>
    </w:p>
    <w:p>
      <w:pPr>
        <w:pStyle w:val="ListNumber"/>
        <w:spacing w:after="60"/>
      </w:pPr>
      <w:r>
        <w:t>4. Giấy tờ y tế: Là các loại giấy tờ như giấy xác nhận bệnh, đơn thuốc, hoặc hồ sơ bệnh án được cấp bởi bác sĩ hoặc cơ sở y tế, cần thiết để chứng minh lý do nghỉ ốm, nghỉ bệnh.</w:t>
      </w:r>
    </w:p>
    <w:p>
      <w:pPr>
        <w:pStyle w:val="ListNumber"/>
        <w:spacing w:after="60"/>
      </w:pPr>
      <w:r>
        <w:t>5. Phê duyệt nghỉ: Là quá trình mà quản lý trực tiếp xem xét và đồng ý cho nhân viên nghỉ việc theo yêu cầu, dựa trên hồ sơ và lý do đã được cung cấp.</w:t>
      </w:r>
    </w:p>
    <w:p>
      <w:pPr>
        <w:pStyle w:val="ListNumber"/>
        <w:spacing w:after="60"/>
      </w:pPr>
      <w:r>
        <w:t>6. Bảo hiểm xã hội (BHXH): Là chế độ bảo hiểm bắt buộc theo quy định của pháp luật Việt Nam, nhằm bảo vệ quyền lợi của người lao động trong trường hợp ốm đau, tai nạn lao động và khi nghỉ hưu.</w:t>
      </w:r>
    </w:p>
    <w:p>
      <w:pPr>
        <w:pStyle w:val="Heading1"/>
        <w:spacing w:before="280" w:after="120"/>
      </w:pPr>
      <w:r>
        <w:t>III. NỘI DUNG QUY ĐỊNH / QUY TRÌNH CHI TIẾT</w:t>
      </w:r>
    </w:p>
    <w:p>
      <w:pPr>
        <w:pStyle w:val="Heading2"/>
        <w:spacing w:before="200" w:after="80"/>
      </w:pPr>
      <w:r>
        <w:t>3.1. Xin nghỉ ốm</w:t>
      </w:r>
    </w:p>
    <w:p>
      <w:pPr>
        <w:pStyle w:val="ListBullet"/>
        <w:spacing w:after="60"/>
      </w:pPr>
      <w:r>
        <w:t>Nhân viên cần thông báo cho quản lý trực tiếp qua điện thoại hoặc email trong vòng 2 giờ đầu làm việc.</w:t>
      </w:r>
    </w:p>
    <w:p>
      <w:pPr>
        <w:pStyle w:val="ListBullet"/>
        <w:spacing w:after="60"/>
      </w:pPr>
      <w:r>
        <w:t>Nhân viên cần cung cấp giấy tờ y tế trong vòng 3 ngày làm việc sau khi quay lại.</w:t>
      </w:r>
    </w:p>
    <w:p>
      <w:pPr>
        <w:pStyle w:val="ListBullet"/>
        <w:spacing w:after="60"/>
      </w:pPr>
      <w:r>
        <w:t>Thời gian nghỉ ốm có lương tối đa là 30 ngày trong một năm, ngoài ra sẽ không được thanh toán lương.</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THỜI GIAN NGHỈ</w:t>
            </w:r>
          </w:p>
        </w:tc>
        <w:tc>
          <w:tcPr>
            <w:tcW w:type="dxa" w:w="3135"/>
          </w:tcPr>
          <w:p>
            <w:r>
              <w:rPr>
                <w:b/>
              </w:rPr>
              <w:t>NGHIỆP VỤ CẦN THỰC HIỆN</w:t>
            </w:r>
          </w:p>
        </w:tc>
        <w:tc>
          <w:tcPr>
            <w:tcW w:type="dxa" w:w="3135"/>
          </w:tcPr>
          <w:p>
            <w:r>
              <w:rPr>
                <w:b/>
              </w:rPr>
              <w:t>GHI CHÚ</w:t>
            </w:r>
          </w:p>
        </w:tc>
      </w:tr>
      <w:tr>
        <w:tc>
          <w:tcPr>
            <w:tcW w:type="dxa" w:w="3135"/>
          </w:tcPr>
          <w:p>
            <w:r>
              <w:t>----------------</w:t>
            </w:r>
          </w:p>
        </w:tc>
        <w:tc>
          <w:tcPr>
            <w:tcW w:type="dxa" w:w="3135"/>
          </w:tcPr>
          <w:p>
            <w:r>
              <w:t>-------------------------</w:t>
            </w:r>
          </w:p>
        </w:tc>
        <w:tc>
          <w:tcPr>
            <w:tcW w:type="dxa" w:w="3135"/>
          </w:tcPr>
          <w:p>
            <w:r>
              <w:t>---------</w:t>
            </w:r>
          </w:p>
        </w:tc>
      </w:tr>
      <w:tr>
        <w:tc>
          <w:tcPr>
            <w:tcW w:type="dxa" w:w="3135"/>
          </w:tcPr>
          <w:p>
            <w:r>
              <w:t>1-3 ngày</w:t>
            </w:r>
          </w:p>
        </w:tc>
        <w:tc>
          <w:tcPr>
            <w:tcW w:type="dxa" w:w="3135"/>
          </w:tcPr>
          <w:p>
            <w:r>
              <w:t>Cung cấp giấy tờ y tế</w:t>
            </w:r>
          </w:p>
        </w:tc>
        <w:tc>
          <w:tcPr>
            <w:tcW w:type="dxa" w:w="3135"/>
          </w:tcPr>
          <w:p>
            <w:r>
              <w:t>Có lương</w:t>
            </w:r>
          </w:p>
        </w:tc>
      </w:tr>
      <w:tr>
        <w:tc>
          <w:tcPr>
            <w:tcW w:type="dxa" w:w="3135"/>
          </w:tcPr>
          <w:p>
            <w:r>
              <w:t>Trên 3 ngày</w:t>
            </w:r>
          </w:p>
        </w:tc>
        <w:tc>
          <w:tcPr>
            <w:tcW w:type="dxa" w:w="3135"/>
          </w:tcPr>
          <w:p>
            <w:r>
              <w:t>Cung cấp giấy tờ y tế</w:t>
            </w:r>
          </w:p>
        </w:tc>
        <w:tc>
          <w:tcPr>
            <w:tcW w:type="dxa" w:w="3135"/>
          </w:tcPr>
          <w:p>
            <w:r>
              <w:t>Có lương</w:t>
            </w:r>
          </w:p>
        </w:tc>
      </w:tr>
      <w:tr>
        <w:tc>
          <w:tcPr>
            <w:tcW w:type="dxa" w:w="3135"/>
          </w:tcPr>
          <w:p>
            <w:r>
              <w:t>Trên 30 ngày</w:t>
            </w:r>
          </w:p>
        </w:tc>
        <w:tc>
          <w:tcPr>
            <w:tcW w:type="dxa" w:w="3135"/>
          </w:tcPr>
          <w:p>
            <w:r>
              <w:t>Cung cấp giấy tờ y tế</w:t>
            </w:r>
          </w:p>
        </w:tc>
        <w:tc>
          <w:tcPr>
            <w:tcW w:type="dxa" w:w="3135"/>
          </w:tcPr>
          <w:p>
            <w:r>
              <w:t>Không lương</w:t>
            </w:r>
          </w:p>
        </w:tc>
      </w:tr>
    </w:tbl>
    <w:p/>
    <w:p>
      <w:pPr>
        <w:pStyle w:val="Heading2"/>
        <w:spacing w:before="200" w:after="80"/>
      </w:pPr>
      <w:r>
        <w:t>3.2. Xin nghỉ bệnh</w:t>
      </w:r>
    </w:p>
    <w:p>
      <w:pPr>
        <w:pStyle w:val="ListBullet"/>
        <w:spacing w:after="60"/>
      </w:pPr>
      <w:r>
        <w:t>Nhân viên cần thông báo cho quản lý trực tiếp và cung cấp giấy xác nhận bệnh từ cơ sở y tế.</w:t>
      </w:r>
    </w:p>
    <w:p>
      <w:pPr>
        <w:pStyle w:val="ListBullet"/>
        <w:spacing w:after="60"/>
      </w:pPr>
      <w:r>
        <w:t>Thời gian nghỉ bệnh tối thiểu là 30 ngày và tối đa là 6 tháng, tùy thuộc vào tình trạng sức khỏe.</w:t>
      </w:r>
    </w:p>
    <w:p>
      <w:pPr>
        <w:pStyle w:val="ListBullet"/>
        <w:spacing w:after="60"/>
      </w:pPr>
      <w:r>
        <w:t>Nhân viên sẽ được hưởng chế độ BHXH theo quy định của pháp luật trong thời gian nghỉ bệnh.</w:t>
      </w:r>
    </w:p>
    <w:p>
      <w:pPr>
        <w:pStyle w:val="Heading2"/>
        <w:spacing w:before="200" w:after="80"/>
      </w:pPr>
      <w:r>
        <w:t>3.3. Xin nghỉ không lương</w:t>
      </w:r>
    </w:p>
    <w:p>
      <w:pPr>
        <w:pStyle w:val="ListBullet"/>
        <w:spacing w:after="60"/>
      </w:pPr>
      <w:r>
        <w:t>Nhân viên cần gửi đơn xin nghỉ không lương cho quản lý trực tiếp ít nhất 15 ngày trước khi nghỉ.</w:t>
      </w:r>
    </w:p>
    <w:p>
      <w:pPr>
        <w:pStyle w:val="ListBullet"/>
        <w:spacing w:after="60"/>
      </w:pPr>
      <w:r>
        <w:t>Thời gian nghỉ không lương tối đa là 2 tháng trong một năm.</w:t>
      </w:r>
    </w:p>
    <w:p>
      <w:pPr>
        <w:pStyle w:val="ListBullet"/>
        <w:spacing w:after="60"/>
      </w:pPr>
      <w:r>
        <w:t>Nhân viên sẽ không được hưởng lương và chế độ BHXH trong suốt thời gian nghỉ không lương.</w:t>
      </w:r>
    </w:p>
    <w:p>
      <w:pPr>
        <w:pStyle w:val="Heading2"/>
        <w:spacing w:before="200" w:after="80"/>
      </w:pPr>
      <w:r>
        <w:t>3.4. Quy trình phê duyệt</w:t>
      </w:r>
    </w:p>
    <w:p>
      <w:pPr>
        <w:pStyle w:val="ListBullet"/>
        <w:spacing w:after="60"/>
      </w:pPr>
      <w:r>
        <w:t>Sau khi nhận được đơn xin nghỉ của nhân viên, quản lý trực tiếp sẽ thẩm định lý do và giấy tờ kèm theo.</w:t>
      </w:r>
    </w:p>
    <w:p>
      <w:pPr>
        <w:pStyle w:val="ListBullet"/>
        <w:spacing w:after="60"/>
      </w:pPr>
      <w:r>
        <w:t>Quản lý sẽ quyết định phê duyệt hoặc từ chối trong vòng 3 ngày làm việc.</w:t>
      </w:r>
    </w:p>
    <w:p>
      <w:pPr>
        <w:pStyle w:val="ListBullet"/>
        <w:spacing w:after="60"/>
      </w:pPr>
      <w:r>
        <w:t>Kết quả phê duyệt sẽ được thông báo cho nhân viên qua email hoặc thông báo trực tiếp.</w:t>
      </w:r>
    </w:p>
    <w:p>
      <w:pPr>
        <w:pStyle w:val="Heading2"/>
        <w:spacing w:before="200" w:after="80"/>
      </w:pPr>
      <w:r>
        <w:t>3.5. Lưu trữ hồ sơ</w:t>
      </w:r>
    </w:p>
    <w:p>
      <w:pPr>
        <w:pStyle w:val="ListBullet"/>
        <w:spacing w:after="60"/>
      </w:pPr>
      <w:r>
        <w:t>Tất cả các hồ sơ xin nghỉ ốm, nghỉ bệnh và nghỉ không lương sẽ được lưu trữ tại phòng nhân sự.</w:t>
      </w:r>
    </w:p>
    <w:p>
      <w:pPr>
        <w:pStyle w:val="ListBullet"/>
        <w:spacing w:after="60"/>
      </w:pPr>
      <w:r>
        <w:t>Hồ sơ cần được cập nhật thường xuyên và đảm bảo tính bảo mật.</w:t>
      </w:r>
    </w:p>
    <w:p>
      <w:pPr>
        <w:pStyle w:val="ListBullet"/>
        <w:spacing w:after="60"/>
      </w:pPr>
      <w:r>
        <w:t>Nhân viên có quyền yêu cầu xem hồ sơ của mình tại bất kỳ thời điểm nào.</w:t>
      </w:r>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BỘ PHẬN/CÁ NHÂN</w:t>
            </w:r>
          </w:p>
        </w:tc>
        <w:tc>
          <w:tcPr>
            <w:tcW w:type="dxa" w:w="3135"/>
          </w:tcPr>
          <w:p>
            <w:r>
              <w:rPr>
                <w:b/>
              </w:rPr>
              <w:t>TRÁCH NHIỆM</w:t>
            </w:r>
          </w:p>
        </w:tc>
        <w:tc>
          <w:tcPr>
            <w:tcW w:type="dxa" w:w="3135"/>
          </w:tcPr>
          <w:p>
            <w:r>
              <w:rPr>
                <w:b/>
              </w:rPr>
              <w:t>GHI CHÚ</w:t>
            </w:r>
          </w:p>
        </w:tc>
      </w:tr>
      <w:tr>
        <w:tc>
          <w:tcPr>
            <w:tcW w:type="dxa" w:w="3135"/>
          </w:tcPr>
          <w:p>
            <w:r>
              <w:t>------------------</w:t>
            </w:r>
          </w:p>
        </w:tc>
        <w:tc>
          <w:tcPr>
            <w:tcW w:type="dxa" w:w="3135"/>
          </w:tcPr>
          <w:p>
            <w:r>
              <w:t>-------------</w:t>
            </w:r>
          </w:p>
        </w:tc>
        <w:tc>
          <w:tcPr>
            <w:tcW w:type="dxa" w:w="3135"/>
          </w:tcPr>
          <w:p>
            <w:r>
              <w:t>---------</w:t>
            </w:r>
          </w:p>
        </w:tc>
      </w:tr>
      <w:tr>
        <w:tc>
          <w:tcPr>
            <w:tcW w:type="dxa" w:w="3135"/>
          </w:tcPr>
          <w:p>
            <w:r>
              <w:t>Nhân viên</w:t>
            </w:r>
          </w:p>
        </w:tc>
        <w:tc>
          <w:tcPr>
            <w:tcW w:type="dxa" w:w="3135"/>
          </w:tcPr>
          <w:p>
            <w:r>
              <w:t>Thông báo nghỉ đúng thời gian</w:t>
            </w:r>
          </w:p>
        </w:tc>
        <w:tc>
          <w:tcPr>
            <w:tcW w:type="dxa" w:w="3135"/>
          </w:tcPr>
          <w:p>
            <w:r>
              <w:t>Cần cung cấp giấy tờ y tế</w:t>
            </w:r>
          </w:p>
        </w:tc>
      </w:tr>
      <w:tr>
        <w:tc>
          <w:tcPr>
            <w:tcW w:type="dxa" w:w="3135"/>
          </w:tcPr>
          <w:p>
            <w:r>
              <w:t>Quản lý</w:t>
            </w:r>
          </w:p>
        </w:tc>
        <w:tc>
          <w:tcPr>
            <w:tcW w:type="dxa" w:w="3135"/>
          </w:tcPr>
          <w:p>
            <w:r>
              <w:t>Phê duyệt đơn xin nghỉ</w:t>
            </w:r>
          </w:p>
        </w:tc>
        <w:tc>
          <w:tcPr>
            <w:tcW w:type="dxa" w:w="3135"/>
          </w:tcPr>
          <w:p>
            <w:r>
              <w:t>Đảm bảo thông báo kết quả</w:t>
            </w:r>
          </w:p>
        </w:tc>
      </w:tr>
      <w:tr>
        <w:tc>
          <w:tcPr>
            <w:tcW w:type="dxa" w:w="3135"/>
          </w:tcPr>
          <w:p>
            <w:r>
              <w:t>Phòng nhân sự</w:t>
            </w:r>
          </w:p>
        </w:tc>
        <w:tc>
          <w:tcPr>
            <w:tcW w:type="dxa" w:w="3135"/>
          </w:tcPr>
          <w:p>
            <w:r>
              <w:t>Lưu trữ hồ sơ đầy đủ</w:t>
            </w:r>
          </w:p>
        </w:tc>
        <w:tc>
          <w:tcPr>
            <w:tcW w:type="dxa" w:w="3135"/>
          </w:tcPr>
          <w:p>
            <w:r>
              <w:t>Cập nhật thông tin kịp thời</w:t>
            </w:r>
          </w:p>
        </w:tc>
      </w:tr>
      <w:tr>
        <w:tc>
          <w:tcPr>
            <w:tcW w:type="dxa" w:w="3135"/>
          </w:tcPr>
          <w:p>
            <w:r>
              <w:t>Kế toán</w:t>
            </w:r>
          </w:p>
        </w:tc>
        <w:tc>
          <w:tcPr>
            <w:tcW w:type="dxa" w:w="3135"/>
          </w:tcPr>
          <w:p>
            <w:r>
              <w:t>Theo dõi và tính toán lương</w:t>
            </w:r>
          </w:p>
        </w:tc>
        <w:tc>
          <w:tcPr>
            <w:tcW w:type="dxa" w:w="3135"/>
          </w:tcPr>
          <w:p>
            <w:r>
              <w:t>Đảm bảo quyền lợi của nhân viên</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 VI PHẠM</w:t>
            </w:r>
          </w:p>
        </w:tc>
        <w:tc>
          <w:tcPr>
            <w:tcW w:type="dxa" w:w="2351"/>
          </w:tcPr>
          <w:p>
            <w:r>
              <w:rPr>
                <w:b/>
              </w:rPr>
              <w:t>HÌNH THỨC XỬ LÝ</w:t>
            </w:r>
          </w:p>
        </w:tc>
        <w:tc>
          <w:tcPr>
            <w:tcW w:type="dxa" w:w="2351"/>
          </w:tcPr>
          <w:p>
            <w:r>
              <w:rPr>
                <w:b/>
              </w:rPr>
              <w:t>MỨC PHẠT (VNĐ)</w:t>
            </w:r>
          </w:p>
        </w:tc>
      </w:tr>
      <w:tr>
        <w:tc>
          <w:tcPr>
            <w:tcW w:type="dxa" w:w="2351"/>
          </w:tcPr>
          <w:p>
            <w:r>
              <w:t>------------------</w:t>
            </w:r>
          </w:p>
        </w:tc>
        <w:tc>
          <w:tcPr>
            <w:tcW w:type="dxa" w:w="2351"/>
          </w:tcPr>
          <w:p>
            <w:r>
              <w:t>----------------</w:t>
            </w:r>
          </w:p>
        </w:tc>
        <w:tc>
          <w:tcPr>
            <w:tcW w:type="dxa" w:w="2351"/>
          </w:tcPr>
          <w:p>
            <w:r>
              <w:t>------------------</w:t>
            </w:r>
          </w:p>
        </w:tc>
        <w:tc>
          <w:tcPr>
            <w:tcW w:type="dxa" w:w="2351"/>
          </w:tcPr>
          <w:p>
            <w:r>
              <w:t>----------------</w:t>
            </w:r>
          </w:p>
        </w:tc>
      </w:tr>
      <w:tr>
        <w:tc>
          <w:tcPr>
            <w:tcW w:type="dxa" w:w="2351"/>
          </w:tcPr>
          <w:p>
            <w:r>
              <w:t>Không thông báo nghỉ</w:t>
            </w:r>
          </w:p>
        </w:tc>
        <w:tc>
          <w:tcPr>
            <w:tcW w:type="dxa" w:w="2351"/>
          </w:tcPr>
          <w:p>
            <w:r>
              <w:t>1 lần</w:t>
            </w:r>
          </w:p>
        </w:tc>
        <w:tc>
          <w:tcPr>
            <w:tcW w:type="dxa" w:w="2351"/>
          </w:tcPr>
          <w:p>
            <w:r>
              <w:t>Nhắc nhở</w:t>
            </w:r>
          </w:p>
        </w:tc>
        <w:tc>
          <w:tcPr>
            <w:tcW w:type="dxa" w:w="2351"/>
          </w:tcPr>
          <w:p>
            <w:r>
              <w:t>500.000</w:t>
            </w:r>
          </w:p>
        </w:tc>
      </w:tr>
      <w:tr>
        <w:tc>
          <w:tcPr>
            <w:tcW w:type="dxa" w:w="2351"/>
          </w:tcPr>
          <w:p>
            <w:r>
              <w:t>Vi phạm thời gian báo nghỉ</w:t>
            </w:r>
          </w:p>
        </w:tc>
        <w:tc>
          <w:tcPr>
            <w:tcW w:type="dxa" w:w="2351"/>
          </w:tcPr>
          <w:p>
            <w:r>
              <w:t>2 lần</w:t>
            </w:r>
          </w:p>
        </w:tc>
        <w:tc>
          <w:tcPr>
            <w:tcW w:type="dxa" w:w="2351"/>
          </w:tcPr>
          <w:p>
            <w:r>
              <w:t>Cảnh cáo</w:t>
            </w:r>
          </w:p>
        </w:tc>
        <w:tc>
          <w:tcPr>
            <w:tcW w:type="dxa" w:w="2351"/>
          </w:tcPr>
          <w:p>
            <w:r>
              <w:t>1.000.000</w:t>
            </w:r>
          </w:p>
        </w:tc>
      </w:tr>
      <w:tr>
        <w:tc>
          <w:tcPr>
            <w:tcW w:type="dxa" w:w="2351"/>
          </w:tcPr>
          <w:p>
            <w:r>
              <w:t>Không cung cấp giấy tờ y tế</w:t>
            </w:r>
          </w:p>
        </w:tc>
        <w:tc>
          <w:tcPr>
            <w:tcW w:type="dxa" w:w="2351"/>
          </w:tcPr>
          <w:p>
            <w:r>
              <w:t>1 lần</w:t>
            </w:r>
          </w:p>
        </w:tc>
        <w:tc>
          <w:tcPr>
            <w:tcW w:type="dxa" w:w="2351"/>
          </w:tcPr>
          <w:p>
            <w:r>
              <w:t>Phạt tiền</w:t>
            </w:r>
          </w:p>
        </w:tc>
        <w:tc>
          <w:tcPr>
            <w:tcW w:type="dxa" w:w="2351"/>
          </w:tcPr>
          <w:p>
            <w:r>
              <w:t>1.500.000</w:t>
            </w:r>
          </w:p>
        </w:tc>
      </w:tr>
      <w:tr>
        <w:tc>
          <w:tcPr>
            <w:tcW w:type="dxa" w:w="2351"/>
          </w:tcPr>
          <w:p>
            <w:r>
              <w:t>Nghỉ không đúng quy định</w:t>
            </w:r>
          </w:p>
        </w:tc>
        <w:tc>
          <w:tcPr>
            <w:tcW w:type="dxa" w:w="2351"/>
          </w:tcPr>
          <w:p>
            <w:r>
              <w:t>3 lần</w:t>
            </w:r>
          </w:p>
        </w:tc>
        <w:tc>
          <w:tcPr>
            <w:tcW w:type="dxa" w:w="2351"/>
          </w:tcPr>
          <w:p>
            <w:r>
              <w:t>Sa thải</w:t>
            </w:r>
          </w:p>
        </w:tc>
        <w:tc>
          <w:tcPr>
            <w:tcW w:type="dxa" w:w="2351"/>
          </w:tcPr>
          <w:p>
            <w:r>
              <w:t>5.000.000</w:t>
            </w:r>
          </w:p>
        </w:tc>
      </w:tr>
    </w:tbl>
    <w:p/>
    <w:p>
      <w:pPr>
        <w:pStyle w:val="Heading1"/>
        <w:spacing w:before="280" w:after="120"/>
      </w:pPr>
      <w:r>
        <w:t>VI. ĐIỀU KHOẢN THI HÀNH</w:t>
      </w:r>
    </w:p>
    <w:p>
      <w:pPr>
        <w:spacing w:after="120"/>
      </w:pPr>
      <w:r>
        <w:t>Quy trình này có hiệu lực kể từ ngày 01 tháng 07 năm 2026 và sẽ thay thế mọi quy định trước đây liên quan đến việc xin nghỉ ốm, nghỉ bệnh và nghỉ không lương. Tất cả các bộ phận trong công ty có trách nhiệm phổ biến quy trình này đến toàn thể nhân viên và tổ chức đào tạo nếu cần thiết. Việc cập nhật và sửa đổi quy trình sẽ được thực hiện định kỳ hoặc khi có thay đổi trong chính sách pháp luật liên quan đến lao động.</w:t>
      </w:r>
    </w:p>
    <w:p>
      <w:pPr>
        <w:spacing w:after="120"/>
      </w:pPr>
      <w:r>
        <w:t>TP. Ho Chi Minh, ngày 01 tháng 07 năm 2026</w:t>
      </w:r>
    </w:p>
    <w:p>
      <w:pPr>
        <w:pStyle w:val="Heading1"/>
        <w:spacing w:before="280" w:after="120"/>
      </w:pPr>
      <w:r>
        <w:t>GIÁM ĐỐC ĐIỀU HÀNH</w:t>
      </w:r>
    </w:p>
    <w:p>
      <w:pPr>
        <w:spacing w:after="120"/>
      </w:pPr>
      <w:r>
        <w:t>Nguyễn Minh Thành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