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VSF/31_QT_DANG_KY_OT_LAM</w:t>
      </w:r>
    </w:p>
    <w:p/>
    <w:p>
      <w:pPr>
        <w:jc w:val="center"/>
      </w:pPr>
      <w:r>
        <w:rPr>
          <w:b/>
          <w:sz w:val="28"/>
        </w:rPr>
        <w:t>QUY TRÌNH ĐĂNG KÝ VÀ PHÊ DUYỆT LÀM THÊM GIỜ (OT)</w:t>
      </w:r>
    </w:p>
    <w:p/>
    <w:p>
      <w:pPr>
        <w:pStyle w:val="Heading1"/>
        <w:spacing w:before="280" w:after="120"/>
      </w:pPr>
      <w:r>
        <w:t>QUY TRÌNH ĐĂNG KÝ VÀ PHÊ DUYỆT LÀM THÊM GIỜ (OT)</w:t>
      </w:r>
    </w:p>
    <w:p>
      <w:pPr>
        <w:pStyle w:val="Heading1"/>
        <w:spacing w:before="280" w:after="120"/>
      </w:pPr>
      <w:r>
        <w:t>I. PHẠM VI VÀ ĐỐI TƯỢNG ÁP DỤNG</w:t>
      </w:r>
    </w:p>
    <w:p>
      <w:pPr>
        <w:spacing w:after="120"/>
      </w:pPr>
      <w:r>
        <w:t>Quy trình này áp dụng cho tất cả nhân viên của Công ty TNHH Công nghệ VSF, bao gồm các vị trí từ nhân viên chính thức đến các vị trí quản lý trong toàn bộ các bộ phận của công ty. Quy trình này có hiệu lực từ ngày 01 tháng 07 năm 2026 và áp dụng đối với mọi hình thức làm thêm giờ (OT) trong công ty. Thời gian làm thêm giờ được quy định từ 17h00 đến 21h00 trong các ngày làm việc từ thứ Hai đến thứ Sáu và từ 8h00 đến 12h00 vào thứ Bảy. Đối tượng ngoại lệ bao gồm các trường hợp khẩn cấp do yêu cầu công việc (như sửa lỗi phần mềm nghiêm trọng, triển khai dự án gấp) mà không cần thực hiện quy trình đăng ký trước.</w:t>
      </w:r>
    </w:p>
    <w:p>
      <w:pPr>
        <w:pStyle w:val="Heading1"/>
        <w:spacing w:before="280" w:after="120"/>
      </w:pPr>
      <w:r>
        <w:t>II. ĐỊNH NGHĨA VÀ GIẢI THÍCH THUẬT NGỮ</w:t>
      </w:r>
    </w:p>
    <w:p>
      <w:pPr>
        <w:pStyle w:val="ListNumber"/>
        <w:spacing w:after="60"/>
      </w:pPr>
      <w:r>
        <w:t>1. Làm thêm giờ (OT): Là thời gian làm việc ngoài giờ hành chính quy định, bao gồm cả thứ Bảy, Chủ Nhật và các ngày lễ, nhằm đáp ứng nhu cầu công việc của công ty.</w:t>
      </w:r>
    </w:p>
    <w:p>
      <w:pPr>
        <w:pStyle w:val="ListNumber"/>
        <w:spacing w:after="60"/>
      </w:pPr>
      <w:r>
        <w:t>2. Phiếu đăng ký OT: Là mẫu biểu do nhân viên điền để xin phép làm thêm giờ, trong đó ghi rõ thông tin cá nhân, thời gian OT và lý do làm thêm giờ.</w:t>
      </w:r>
    </w:p>
    <w:p>
      <w:pPr>
        <w:pStyle w:val="ListNumber"/>
        <w:spacing w:after="60"/>
      </w:pPr>
      <w:r>
        <w:t>3. Phê duyệt OT: Là hành động mà cấp quản lý hoặc bộ phận nhân sự xác nhận việc đăng ký làm thêm giờ của nhân viên, đảm bảo phù hợp với yêu cầu công việc và quy định của công ty.</w:t>
      </w:r>
    </w:p>
    <w:p>
      <w:pPr>
        <w:pStyle w:val="ListNumber"/>
        <w:spacing w:after="60"/>
      </w:pPr>
      <w:r>
        <w:t>4. Log OT: Là bảng theo dõi thời gian làm thêm giờ của nhân viên, bao gồm thông tin ngày, giờ làm thêm, lý do và trạng thái phê duyệt.</w:t>
      </w:r>
    </w:p>
    <w:p>
      <w:pPr>
        <w:pStyle w:val="ListNumber"/>
        <w:spacing w:after="60"/>
      </w:pPr>
      <w:r>
        <w:t>5. Kế toán: Là bộ phận có trách nhiệm theo dõi và tính toán tiền lương làm thêm giờ, đảm bảo thanh toán đúng hạn cho nhân viên.</w:t>
      </w:r>
    </w:p>
    <w:p>
      <w:pPr>
        <w:pStyle w:val="ListNumber"/>
        <w:spacing w:after="60"/>
      </w:pPr>
      <w:r>
        <w:t>6. Hợp đồng lao động: Là văn bản pháp lý giữa công ty và nhân viên, quy định rõ các điều khoản làm việc, bao gồm cả quy định về làm thêm giờ.</w:t>
      </w:r>
    </w:p>
    <w:p>
      <w:pPr>
        <w:pStyle w:val="Heading1"/>
        <w:spacing w:before="280" w:after="120"/>
      </w:pPr>
      <w:r>
        <w:t>III. NỘI DUNG QUY ĐỊNH / QUY TRÌNH CHI TIẾT</w:t>
      </w:r>
    </w:p>
    <w:p>
      <w:pPr>
        <w:pStyle w:val="Heading2"/>
        <w:spacing w:before="200" w:after="80"/>
      </w:pPr>
      <w:r>
        <w:t>3.1. Điều kiện đăng ký làm thêm giờ</w:t>
      </w:r>
    </w:p>
    <w:p>
      <w:pPr>
        <w:pStyle w:val="ListBullet"/>
        <w:spacing w:after="60"/>
      </w:pPr>
      <w:r>
        <w:t>Nhân viên phải hoàn thành công việc được giao trong giờ làm việc chính thức.</w:t>
      </w:r>
    </w:p>
    <w:p>
      <w:pPr>
        <w:pStyle w:val="ListBullet"/>
        <w:spacing w:after="60"/>
      </w:pPr>
      <w:r>
        <w:t>Lý do làm thêm giờ phải rõ ràng và chính đáng, có thể là do yêu cầu dự án hoặc tình huống khẩn cấp.</w:t>
      </w:r>
    </w:p>
    <w:p>
      <w:pPr>
        <w:pStyle w:val="ListBullet"/>
        <w:spacing w:after="60"/>
      </w:pPr>
      <w:r>
        <w:t>Nhân viên cần gửi phiếu đăng ký OT ít nhất 24 giờ trước khi dự kiến làm thêm giờ.</w:t>
      </w:r>
    </w:p>
    <w:p>
      <w:pPr>
        <w:pStyle w:val="Heading2"/>
        <w:spacing w:before="200" w:after="80"/>
      </w:pPr>
      <w:r>
        <w:t>3.2. Quy trình nộp phiếu đăng ký OT</w:t>
      </w:r>
    </w:p>
    <w:p>
      <w:pPr>
        <w:pStyle w:val="ListBullet"/>
        <w:spacing w:after="60"/>
      </w:pPr>
      <w:r>
        <w:t>Nhân viên điền đầy đủ thông tin vào phiếu đăng ký OT theo mẫu quy định.</w:t>
      </w:r>
    </w:p>
    <w:p>
      <w:pPr>
        <w:pStyle w:val="ListBullet"/>
        <w:spacing w:after="60"/>
      </w:pPr>
      <w:r>
        <w:t>Phiếu đăng ký OT nộp cho cấp quản lý trực tiếp để xem xét phê duyệt.</w:t>
      </w:r>
    </w:p>
    <w:p>
      <w:pPr>
        <w:pStyle w:val="ListBullet"/>
        <w:spacing w:after="60"/>
      </w:pPr>
      <w:r>
        <w:t>Sau khi được phê duyệt, phiếu sẽ được gửi đến bộ phận nhân sự để lưu trữ và xử lý.</w:t>
      </w:r>
    </w:p>
    <w:p>
      <w:pPr>
        <w:pStyle w:val="Heading2"/>
        <w:spacing w:before="200" w:after="80"/>
      </w:pPr>
      <w:r>
        <w:t>3.3. Phê duyệt OT</w:t>
      </w:r>
    </w:p>
    <w:p>
      <w:pPr>
        <w:pStyle w:val="ListBullet"/>
        <w:spacing w:after="60"/>
      </w:pPr>
      <w:r>
        <w:t>Cấp quản lý có trách nhiệm xem xét và phê duyệt phiếu đăng ký OT trong thời gian tối đa 24 giờ.</w:t>
      </w:r>
    </w:p>
    <w:p>
      <w:pPr>
        <w:pStyle w:val="ListBullet"/>
        <w:spacing w:after="60"/>
      </w:pPr>
      <w:r>
        <w:t>Nếu không đồng ý phê duyệt, cấp quản lý phải cung cấp lý do rõ ràng cho nhân viên.</w:t>
      </w:r>
    </w:p>
    <w:p>
      <w:pPr>
        <w:pStyle w:val="ListBullet"/>
        <w:spacing w:after="60"/>
      </w:pPr>
      <w:r>
        <w:t>Bộ phận nhân sự sẽ ghi nhận và cập nhật log OT sau khi nhận được phiếu đã được phê duyệt.</w:t>
      </w:r>
    </w:p>
    <w:p>
      <w:pPr>
        <w:pStyle w:val="Heading2"/>
        <w:spacing w:before="200" w:after="80"/>
      </w:pPr>
      <w:r>
        <w:t>3.4. Lưu trữ và theo dõi log OT</w:t>
      </w:r>
    </w:p>
    <w:p>
      <w:pPr>
        <w:pStyle w:val="ListBullet"/>
        <w:spacing w:after="60"/>
      </w:pPr>
      <w:r>
        <w:t>Bộ phận nhân sự có trách nhiệm lưu trữ tất cả các phiếu đăng ký OT và log OT theo quy định.</w:t>
      </w:r>
    </w:p>
    <w:p>
      <w:pPr>
        <w:pStyle w:val="ListBullet"/>
        <w:spacing w:after="60"/>
      </w:pPr>
      <w:r>
        <w:t>Log OT cần được cập nhật hàng tháng và báo cáo cho ban giám đốc.</w:t>
      </w:r>
    </w:p>
    <w:p>
      <w:pPr>
        <w:pStyle w:val="ListBullet"/>
        <w:spacing w:after="60"/>
      </w:pPr>
      <w:r>
        <w:t>Mẫu log OT được biểu diễn như sau: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Ngày</w:t>
            </w:r>
          </w:p>
        </w:tc>
        <w:tc>
          <w:tcPr>
            <w:tcW w:type="dxa" w:w="1881"/>
          </w:tcPr>
          <w:p>
            <w:r>
              <w:rPr>
                <w:b/>
              </w:rPr>
              <w:t>Thời gian</w:t>
            </w:r>
          </w:p>
        </w:tc>
        <w:tc>
          <w:tcPr>
            <w:tcW w:type="dxa" w:w="1881"/>
          </w:tcPr>
          <w:p>
            <w:r>
              <w:rPr>
                <w:b/>
              </w:rPr>
              <w:t>Nhân viên</w:t>
            </w:r>
          </w:p>
        </w:tc>
        <w:tc>
          <w:tcPr>
            <w:tcW w:type="dxa" w:w="1881"/>
          </w:tcPr>
          <w:p>
            <w:r>
              <w:rPr>
                <w:b/>
              </w:rPr>
              <w:t>Lý do</w:t>
            </w:r>
          </w:p>
        </w:tc>
        <w:tc>
          <w:tcPr>
            <w:tcW w:type="dxa" w:w="1881"/>
          </w:tcPr>
          <w:p>
            <w:r>
              <w:rPr>
                <w:b/>
              </w:rPr>
              <w:t>Trạng thái</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01/07/2026</w:t>
            </w:r>
          </w:p>
        </w:tc>
        <w:tc>
          <w:tcPr>
            <w:tcW w:type="dxa" w:w="1881"/>
          </w:tcPr>
          <w:p>
            <w:r>
              <w:t>17h00 - 19h00</w:t>
            </w:r>
          </w:p>
        </w:tc>
        <w:tc>
          <w:tcPr>
            <w:tcW w:type="dxa" w:w="1881"/>
          </w:tcPr>
          <w:p>
            <w:r>
              <w:t>Nguyễn Văn A</w:t>
            </w:r>
          </w:p>
        </w:tc>
        <w:tc>
          <w:tcPr>
            <w:tcW w:type="dxa" w:w="1881"/>
          </w:tcPr>
          <w:p>
            <w:r>
              <w:t>Hoàn thành dự án gấp</w:t>
            </w:r>
          </w:p>
        </w:tc>
        <w:tc>
          <w:tcPr>
            <w:tcW w:type="dxa" w:w="1881"/>
          </w:tcPr>
          <w:p>
            <w:r>
              <w:t>Đã phê duyệt</w:t>
            </w:r>
          </w:p>
        </w:tc>
      </w:tr>
      <w:tr>
        <w:tc>
          <w:tcPr>
            <w:tcW w:type="dxa" w:w="1881"/>
          </w:tcPr>
          <w:p>
            <w:r>
              <w:t>02/07/2026</w:t>
            </w:r>
          </w:p>
        </w:tc>
        <w:tc>
          <w:tcPr>
            <w:tcW w:type="dxa" w:w="1881"/>
          </w:tcPr>
          <w:p>
            <w:r>
              <w:t>18h00 - 20h00</w:t>
            </w:r>
          </w:p>
        </w:tc>
        <w:tc>
          <w:tcPr>
            <w:tcW w:type="dxa" w:w="1881"/>
          </w:tcPr>
          <w:p>
            <w:r>
              <w:t>Trần Thị B</w:t>
            </w:r>
          </w:p>
        </w:tc>
        <w:tc>
          <w:tcPr>
            <w:tcW w:type="dxa" w:w="1881"/>
          </w:tcPr>
          <w:p>
            <w:r>
              <w:t>Sửa lỗi phần mềm</w:t>
            </w:r>
          </w:p>
        </w:tc>
        <w:tc>
          <w:tcPr>
            <w:tcW w:type="dxa" w:w="1881"/>
          </w:tcPr>
          <w:p>
            <w:r>
              <w:t>Đã phê duyệt</w:t>
            </w:r>
          </w:p>
        </w:tc>
      </w:tr>
    </w:tbl>
    <w:p/>
    <w:p>
      <w:pPr>
        <w:pStyle w:val="Heading2"/>
        <w:spacing w:before="200" w:after="80"/>
      </w:pPr>
      <w:r>
        <w:t>3.5. Trách nhiệm của bộ phận kế toán</w:t>
      </w:r>
    </w:p>
    <w:p>
      <w:pPr>
        <w:pStyle w:val="ListBullet"/>
        <w:spacing w:after="60"/>
      </w:pPr>
      <w:r>
        <w:t>Kế toán có trách nhiệm tính toán và chi trả lương OT cho nhân viên theo quy định.</w:t>
      </w:r>
    </w:p>
    <w:p>
      <w:pPr>
        <w:pStyle w:val="ListBullet"/>
        <w:spacing w:after="60"/>
      </w:pPr>
      <w:r>
        <w:t>Kế toán phải đảm bảo thông tin OT được cung cấp đầy đủ và chính xác từ bộ phận nhân sự.</w:t>
      </w:r>
    </w:p>
    <w:p>
      <w:pPr>
        <w:pStyle w:val="ListBullet"/>
        <w:spacing w:after="60"/>
      </w:pPr>
      <w:r>
        <w:t>Kế toán có trách nhiệm báo cáo hàng tháng về chi phí OT cho ban giám đốc.</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Vai trò/Bộ phận</w:t>
            </w:r>
          </w:p>
        </w:tc>
        <w:tc>
          <w:tcPr>
            <w:tcW w:type="dxa" w:w="2351"/>
          </w:tcPr>
          <w:p>
            <w:r>
              <w:rPr>
                <w:b/>
              </w:rPr>
              <w:t>Trách nhiệm 1</w:t>
            </w:r>
          </w:p>
        </w:tc>
        <w:tc>
          <w:tcPr>
            <w:tcW w:type="dxa" w:w="2351"/>
          </w:tcPr>
          <w:p>
            <w:r>
              <w:rPr>
                <w:b/>
              </w:rPr>
              <w:t>Trách nhiệm 2</w:t>
            </w:r>
          </w:p>
        </w:tc>
        <w:tc>
          <w:tcPr>
            <w:tcW w:type="dxa" w:w="2351"/>
          </w:tcPr>
          <w:p>
            <w:r>
              <w:rPr>
                <w:b/>
              </w:rPr>
              <w:t>Trách nhiệm 3</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Nhân viên</w:t>
            </w:r>
          </w:p>
        </w:tc>
        <w:tc>
          <w:tcPr>
            <w:tcW w:type="dxa" w:w="2351"/>
          </w:tcPr>
          <w:p>
            <w:r>
              <w:t>Điền đầy đủ phiếu đăng ký OT</w:t>
            </w:r>
          </w:p>
        </w:tc>
        <w:tc>
          <w:tcPr>
            <w:tcW w:type="dxa" w:w="2351"/>
          </w:tcPr>
          <w:p>
            <w:r>
              <w:t>Nộp phiếu đúng thời hạn</w:t>
            </w:r>
          </w:p>
        </w:tc>
        <w:tc>
          <w:tcPr>
            <w:tcW w:type="dxa" w:w="2351"/>
          </w:tcPr>
          <w:p>
            <w:r>
              <w:t>Thực hiện công việc được giao</w:t>
            </w:r>
          </w:p>
        </w:tc>
      </w:tr>
      <w:tr>
        <w:tc>
          <w:tcPr>
            <w:tcW w:type="dxa" w:w="2351"/>
          </w:tcPr>
          <w:p>
            <w:r>
              <w:t>Cấp quản lý</w:t>
            </w:r>
          </w:p>
        </w:tc>
        <w:tc>
          <w:tcPr>
            <w:tcW w:type="dxa" w:w="2351"/>
          </w:tcPr>
          <w:p>
            <w:r>
              <w:t>Xem xét và phê duyệt phiếu OT</w:t>
            </w:r>
          </w:p>
        </w:tc>
        <w:tc>
          <w:tcPr>
            <w:tcW w:type="dxa" w:w="2351"/>
          </w:tcPr>
          <w:p>
            <w:r>
              <w:t>Cung cấp lý do từ chối nếu cần</w:t>
            </w:r>
          </w:p>
        </w:tc>
        <w:tc>
          <w:tcPr>
            <w:tcW w:type="dxa" w:w="2351"/>
          </w:tcPr>
          <w:p>
            <w:r>
              <w:t>Giám sát công việc của nhân viên</w:t>
            </w:r>
          </w:p>
        </w:tc>
      </w:tr>
      <w:tr>
        <w:tc>
          <w:tcPr>
            <w:tcW w:type="dxa" w:w="2351"/>
          </w:tcPr>
          <w:p>
            <w:r>
              <w:t>Bộ phận nhân sự</w:t>
            </w:r>
          </w:p>
        </w:tc>
        <w:tc>
          <w:tcPr>
            <w:tcW w:type="dxa" w:w="2351"/>
          </w:tcPr>
          <w:p>
            <w:r>
              <w:t>Lưu trữ phiếu đăng ký OT</w:t>
            </w:r>
          </w:p>
        </w:tc>
        <w:tc>
          <w:tcPr>
            <w:tcW w:type="dxa" w:w="2351"/>
          </w:tcPr>
          <w:p>
            <w:r>
              <w:t>Cập nhật log OT hàng tháng</w:t>
            </w:r>
          </w:p>
        </w:tc>
        <w:tc>
          <w:tcPr>
            <w:tcW w:type="dxa" w:w="2351"/>
          </w:tcPr>
          <w:p>
            <w:r>
              <w:t>Thông báo kết quả phê duyệt cho nhân viên</w:t>
            </w:r>
          </w:p>
        </w:tc>
      </w:tr>
      <w:tr>
        <w:tc>
          <w:tcPr>
            <w:tcW w:type="dxa" w:w="2351"/>
          </w:tcPr>
          <w:p>
            <w:r>
              <w:t>Bộ phận kế toán</w:t>
            </w:r>
          </w:p>
        </w:tc>
        <w:tc>
          <w:tcPr>
            <w:tcW w:type="dxa" w:w="2351"/>
          </w:tcPr>
          <w:p>
            <w:r>
              <w:t>Tính toán tiền lương OT</w:t>
            </w:r>
          </w:p>
        </w:tc>
        <w:tc>
          <w:tcPr>
            <w:tcW w:type="dxa" w:w="2351"/>
          </w:tcPr>
          <w:p>
            <w:r>
              <w:t>Đảm bảo thông tin OT chính xác</w:t>
            </w:r>
          </w:p>
        </w:tc>
        <w:tc>
          <w:tcPr>
            <w:tcW w:type="dxa" w:w="2351"/>
          </w:tcPr>
          <w:p>
            <w:r>
              <w:t>Báo cáo chi phí OT cho ban giám đốc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nộp phiếu đăng ký OT</w:t>
            </w:r>
          </w:p>
        </w:tc>
        <w:tc>
          <w:tcPr>
            <w:tcW w:type="dxa" w:w="2351"/>
          </w:tcPr>
          <w:p>
            <w:r>
              <w:t>1 lần</w:t>
            </w:r>
          </w:p>
        </w:tc>
        <w:tc>
          <w:tcPr>
            <w:tcW w:type="dxa" w:w="2351"/>
          </w:tcPr>
          <w:p>
            <w:r>
              <w:t>Cảnh cáo</w:t>
            </w:r>
          </w:p>
        </w:tc>
        <w:tc>
          <w:tcPr>
            <w:tcW w:type="dxa" w:w="2351"/>
          </w:tcPr>
          <w:p>
            <w:r>
              <w:t>500.000</w:t>
            </w:r>
          </w:p>
        </w:tc>
      </w:tr>
      <w:tr>
        <w:tc>
          <w:tcPr>
            <w:tcW w:type="dxa" w:w="2351"/>
          </w:tcPr>
          <w:p>
            <w:r>
              <w:t>Nộp phiếu muộn (sau 24h)</w:t>
            </w:r>
          </w:p>
        </w:tc>
        <w:tc>
          <w:tcPr>
            <w:tcW w:type="dxa" w:w="2351"/>
          </w:tcPr>
          <w:p>
            <w:r>
              <w:t>2 lần</w:t>
            </w:r>
          </w:p>
        </w:tc>
        <w:tc>
          <w:tcPr>
            <w:tcW w:type="dxa" w:w="2351"/>
          </w:tcPr>
          <w:p>
            <w:r>
              <w:t>Cảnh cáo</w:t>
            </w:r>
          </w:p>
        </w:tc>
        <w:tc>
          <w:tcPr>
            <w:tcW w:type="dxa" w:w="2351"/>
          </w:tcPr>
          <w:p>
            <w:r>
              <w:t>300.000</w:t>
            </w:r>
          </w:p>
        </w:tc>
      </w:tr>
      <w:tr>
        <w:tc>
          <w:tcPr>
            <w:tcW w:type="dxa" w:w="2351"/>
          </w:tcPr>
          <w:p>
            <w:r>
              <w:t>Làm thêm giờ không được phê duyệt</w:t>
            </w:r>
          </w:p>
        </w:tc>
        <w:tc>
          <w:tcPr>
            <w:tcW w:type="dxa" w:w="2351"/>
          </w:tcPr>
          <w:p>
            <w:r>
              <w:t>1 lần</w:t>
            </w:r>
          </w:p>
        </w:tc>
        <w:tc>
          <w:tcPr>
            <w:tcW w:type="dxa" w:w="2351"/>
          </w:tcPr>
          <w:p>
            <w:r>
              <w:t>Hủy lương OT</w:t>
            </w:r>
          </w:p>
        </w:tc>
        <w:tc>
          <w:tcPr>
            <w:tcW w:type="dxa" w:w="2351"/>
          </w:tcPr>
          <w:p>
            <w:r>
              <w:t>1.000.000</w:t>
            </w:r>
          </w:p>
        </w:tc>
      </w:tr>
      <w:tr>
        <w:tc>
          <w:tcPr>
            <w:tcW w:type="dxa" w:w="2351"/>
          </w:tcPr>
          <w:p>
            <w:r>
              <w:t>Lặp lại vi phạm trên 3 lần</w:t>
            </w:r>
          </w:p>
        </w:tc>
        <w:tc>
          <w:tcPr>
            <w:tcW w:type="dxa" w:w="2351"/>
          </w:tcPr>
          <w:p>
            <w:r>
              <w:t>Thêm lần</w:t>
            </w:r>
          </w:p>
        </w:tc>
        <w:tc>
          <w:tcPr>
            <w:tcW w:type="dxa" w:w="2351"/>
          </w:tcPr>
          <w:p>
            <w:r>
              <w:t>Xem xét sa thải</w:t>
            </w:r>
          </w:p>
        </w:tc>
        <w:tc>
          <w:tcPr>
            <w:tcW w:type="dxa" w:w="2351"/>
          </w:tcPr>
          <w:p>
            <w:r>
              <w:t>5.000.000</w:t>
            </w:r>
          </w:p>
        </w:tc>
      </w:tr>
    </w:tbl>
    <w:p/>
    <w:p>
      <w:pPr>
        <w:pStyle w:val="Heading1"/>
        <w:spacing w:before="280" w:after="120"/>
      </w:pPr>
      <w:r>
        <w:t>VI. ĐIỀU KHOẢN THI HÀNH</w:t>
      </w:r>
    </w:p>
    <w:p>
      <w:pPr>
        <w:spacing w:after="120"/>
      </w:pPr>
      <w:r>
        <w:t>Quy trình này có hiệu lực từ ngày 01 tháng 07 năm 2026 và sẽ bãi bỏ các văn bản quy định trước đó liên quan đến việc đăng ký và phê duyệt làm thêm giờ. Trách nhiệm phổ biến văn bản này thuộc về bộ phận nhân sự, đảm bảo tất cả nhân viên đều được thông báo và hiểu rõ quy trình. Mọi thay đổi hoặc cập nhật sẽ được thực hiện theo quy định của Ban giám đốc và thông báo đến toàn thể nhân viên.</w:t>
      </w:r>
    </w:p>
    <w:p>
      <w:pPr>
        <w:spacing w:after="120"/>
      </w:pPr>
      <w:r>
        <w:t>TP. Ho Chi Minh, ngay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