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VSF/32_QD_TINH_LUONG_OT_</w:t>
      </w:r>
    </w:p>
    <w:p/>
    <w:p>
      <w:pPr>
        <w:jc w:val="center"/>
      </w:pPr>
      <w:r>
        <w:rPr>
          <w:b/>
          <w:sz w:val="28"/>
        </w:rPr>
        <w:t>QUY ĐỊNH TÍNH LƯƠNG OT VÀ CÁC KHOẢN PHỤ CẤP KHI LÀM THÊM GIỜ</w:t>
      </w:r>
    </w:p>
    <w:p/>
    <w:p>
      <w:pPr>
        <w:pStyle w:val="Heading1"/>
        <w:spacing w:before="280" w:after="120"/>
      </w:pPr>
      <w:r>
        <w:t>I. PHẠM VI VÀ ĐỐI TƯỢNG ÁP DỤNG</w:t>
      </w:r>
    </w:p>
    <w:p>
      <w:pPr>
        <w:spacing w:after="120"/>
      </w:pPr>
      <w:r>
        <w:t>Quy định này áp dụng cho tất cả nhân viên của Công ty TNHH Công nghệ VSF, bao gồm cả nhân viên chính thức và nhân viên thử việc, trong thời gian làm việc tại trụ sở chính của công ty và các chi nhánh, văn phòng đại diện. Thời gian áp dụng quy định là từ 01/07/2026 trở đi. Các đối tượng ngoại lệ bao gồm những nhân viên trong thời gian thử việc chưa đủ điều kiện để nhận lương OT, cũng như những nhân viên tạm hoãn hợp đồng hoặc nghỉ việc trong thời gian quy định. Mọi trường hợp ngoại lệ cần được ghi nhận và báo cáo cho bộ phận nhân sự để xem xét và đưa ra quyết định phù hợp.</w:t>
      </w:r>
    </w:p>
    <w:p>
      <w:pPr>
        <w:pStyle w:val="Heading1"/>
        <w:spacing w:before="280" w:after="120"/>
      </w:pPr>
      <w:r>
        <w:t>II. ĐỊNH NGHĨA VÀ GIẢI THÍCH THUẬT NGỮ</w:t>
      </w:r>
    </w:p>
    <w:p>
      <w:pPr>
        <w:pStyle w:val="ListNumber"/>
        <w:spacing w:after="60"/>
      </w:pPr>
      <w:r>
        <w:t>1. Lương OT (Lương làm thêm giờ): Là khoản tiền mà nhân viên được trả cho thời gian làm việc ngoài giờ hành chính theo quy định của công ty. Lương OT được tính theo tỷ lệ phần trăm so với lương cơ bản.</w:t>
      </w:r>
    </w:p>
    <w:p>
      <w:pPr>
        <w:pStyle w:val="ListNumber"/>
        <w:spacing w:after="60"/>
      </w:pPr>
      <w:r>
        <w:t>2. Phụ cấp ăn ca: Là khoản tiền hỗ trợ cho nhân viên trong việc ăn uống khi làm việc ngoài giờ. Khoản phụ cấp này sẽ được chi trả theo từng ngày làm thêm giờ.</w:t>
      </w:r>
    </w:p>
    <w:p>
      <w:pPr>
        <w:pStyle w:val="ListNumber"/>
        <w:spacing w:after="60"/>
      </w:pPr>
      <w:r>
        <w:t>3. Phụ cấp đi lại: Là khoản tiền hỗ trợ cho nhân viên sử dụng phương tiện di chuyển khi làm việc sau 22h. Phụ cấp này được tính dựa trên quãng đường di chuyển thực tế và phương tiện sử dụng.</w:t>
      </w:r>
    </w:p>
    <w:p>
      <w:pPr>
        <w:pStyle w:val="ListNumber"/>
        <w:spacing w:after="60"/>
      </w:pPr>
      <w:r>
        <w:t>4. Ngày làm việc: Là ngày mà nhân viên thực hiện công việc theo hợp đồng lao động đã ký kết với công ty, bao gồm cả các ngày từ thứ Hai đến thứ Sáu, và các ngày nghỉ cuối tuần nếu có yêu cầu làm thêm.</w:t>
      </w:r>
    </w:p>
    <w:p>
      <w:pPr>
        <w:pStyle w:val="ListNumber"/>
        <w:spacing w:after="60"/>
      </w:pPr>
      <w:r>
        <w:t>5. Ngày nghỉ lễ: Là những ngày mà công ty quy định là ngày nghỉ theo quy định của pháp luật lao động Việt Nam, bao gồm các ngày lễ lớn như Tết Nguyên Đán, Quốc Khánh, và Giải Phóng Miền Nam.</w:t>
      </w:r>
    </w:p>
    <w:p>
      <w:pPr>
        <w:pStyle w:val="ListNumber"/>
        <w:spacing w:after="60"/>
      </w:pPr>
      <w:r>
        <w:t>6. Quy trình thanh toán: Là các bước mà bộ phận kế toán thực hiện để chi trả lương OT và các khoản phụ cấp liên quan cho nhân viên đúng thời hạn và đầy đủ.</w:t>
      </w:r>
    </w:p>
    <w:p>
      <w:pPr>
        <w:pStyle w:val="Heading1"/>
        <w:spacing w:before="280" w:after="120"/>
      </w:pPr>
      <w:r>
        <w:t>III. NỘI DUNG QUY ĐỊNH / QUY TRÌNH CHI TIẾT</w:t>
      </w:r>
    </w:p>
    <w:p>
      <w:pPr>
        <w:pStyle w:val="Heading2"/>
        <w:spacing w:before="200" w:after="80"/>
      </w:pPr>
      <w:r>
        <w:t>3.1. Quy định về tỷ lệ tính lương OT</w:t>
      </w:r>
    </w:p>
    <w:p>
      <w:pPr>
        <w:pStyle w:val="ListBullet"/>
        <w:spacing w:after="60"/>
      </w:pPr>
      <w:r>
        <w:t>Tỷ lệ áp dụng cho lương OT vào các ngày làm việc thông thường là 150% lương cơ bản.</w:t>
      </w:r>
    </w:p>
    <w:p>
      <w:pPr>
        <w:pStyle w:val="ListBullet"/>
        <w:spacing w:after="60"/>
      </w:pPr>
      <w:r>
        <w:t>Tỷ lệ áp dụng cho lương OT vào các ngày nghỉ là 200% lương cơ bản.</w:t>
      </w:r>
    </w:p>
    <w:p>
      <w:pPr>
        <w:pStyle w:val="ListBullet"/>
        <w:spacing w:after="60"/>
      </w:pPr>
      <w:r>
        <w:t>Tỷ lệ áp dụng cho lương OT vào các ngày lễ là 300% lương cơ bản.</w:t>
      </w:r>
    </w:p>
    <w:p>
      <w:pPr>
        <w:pStyle w:val="Heading2"/>
        <w:spacing w:before="200" w:after="80"/>
      </w:pPr>
      <w:r>
        <w:t>3.2. Phụ cấp ăn ca khi làm thêm giờ</w:t>
      </w:r>
    </w:p>
    <w:p>
      <w:pPr>
        <w:pStyle w:val="ListBullet"/>
        <w:spacing w:after="60"/>
      </w:pPr>
      <w:r>
        <w:t>Nhân viên sẽ được hưởng phụ cấp ăn ca khi làm việc từ 2 giờ trở lên trong ngày.</w:t>
      </w:r>
    </w:p>
    <w:p>
      <w:pPr>
        <w:pStyle w:val="ListBullet"/>
        <w:spacing w:after="60"/>
      </w:pPr>
      <w:r>
        <w:t>Mức phụ cấp ăn ca là 50.000 VNĐ cho mỗi ngày làm thêm.</w:t>
      </w:r>
    </w:p>
    <w:p>
      <w:pPr>
        <w:pStyle w:val="ListBullet"/>
        <w:spacing w:after="60"/>
      </w:pPr>
      <w:r>
        <w:t>Phụ cấp này sẽ được tính vào bảng lương tháng của nhân viên.</w:t>
      </w:r>
    </w:p>
    <w:p>
      <w:pPr>
        <w:pStyle w:val="Heading2"/>
        <w:spacing w:before="200" w:after="80"/>
      </w:pPr>
      <w:r>
        <w:t>3.3. Phụ cấp đi lại sau 22h</w:t>
      </w:r>
    </w:p>
    <w:p>
      <w:pPr>
        <w:pStyle w:val="ListBullet"/>
        <w:spacing w:after="60"/>
      </w:pPr>
      <w:r>
        <w:t>Nhân viên làm việc sau 22h sẽ được hưởng phụ cấp đi lại.</w:t>
      </w:r>
    </w:p>
    <w:p>
      <w:pPr>
        <w:pStyle w:val="ListBullet"/>
        <w:spacing w:after="60"/>
      </w:pPr>
      <w:r>
        <w:t>Mức phụ cấp đi lại là 100.000 VNĐ cho mỗi lần di chuyển.</w:t>
      </w:r>
    </w:p>
    <w:p>
      <w:pPr>
        <w:pStyle w:val="ListBullet"/>
        <w:spacing w:after="60"/>
      </w:pPr>
      <w:r>
        <w:t>Nhân viên phải gửi hóa đơn hoặc chứng từ liên quan để được thanh toán khoản phụ cấp này.</w:t>
      </w:r>
    </w:p>
    <w:p>
      <w:pPr>
        <w:pStyle w:val="Heading2"/>
        <w:spacing w:before="200" w:after="80"/>
      </w:pPr>
      <w:r>
        <w:t>3.4. Quy trình lập bảng lương OT hàng tháng</w:t>
      </w:r>
    </w:p>
    <w:p>
      <w:pPr>
        <w:pStyle w:val="ListBullet"/>
        <w:spacing w:after="60"/>
      </w:pPr>
      <w:r>
        <w:t>Nhân viên có trách nhiệm ghi chép thời gian làm thêm giờ vào bảng theo dõi giờ làm việc hàng tháng.</w:t>
      </w:r>
    </w:p>
    <w:p>
      <w:pPr>
        <w:pStyle w:val="ListBullet"/>
        <w:spacing w:after="60"/>
      </w:pPr>
      <w:r>
        <w:t>Bộ phận quản lý trực tiếp sẽ xác nhận thời gian làm thêm của nhân viên trước khi gửi lên bộ phận kế toán.</w:t>
      </w:r>
    </w:p>
    <w:p>
      <w:pPr>
        <w:pStyle w:val="ListBullet"/>
        <w:spacing w:after="60"/>
      </w:pPr>
      <w:r>
        <w:t>Bộ phận kế toán sẽ tổng hợp và chi trả lương OT cùng với lương tháng vào ngày 5 của tháng kế tiếp.</w:t>
      </w:r>
    </w:p>
    <w:p>
      <w:pPr>
        <w:pStyle w:val="Heading2"/>
        <w:spacing w:before="200" w:after="80"/>
      </w:pPr>
      <w:r>
        <w:t>3.5. Bảng ví dụ tính toán cụ thể</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Họ và tên</w:t>
            </w:r>
          </w:p>
        </w:tc>
        <w:tc>
          <w:tcPr>
            <w:tcW w:type="dxa" w:w="2351"/>
          </w:tcPr>
          <w:p>
            <w:r>
              <w:rPr>
                <w:b/>
              </w:rPr>
              <w:t>Lương cơ bản (VNĐ)</w:t>
            </w:r>
          </w:p>
        </w:tc>
        <w:tc>
          <w:tcPr>
            <w:tcW w:type="dxa" w:w="2351"/>
          </w:tcPr>
          <w:p>
            <w:r>
              <w:rPr>
                <w:b/>
              </w:rPr>
              <w:t>Số giờ OT</w:t>
            </w:r>
          </w:p>
        </w:tc>
        <w:tc>
          <w:tcPr>
            <w:tcW w:type="dxa" w:w="2351"/>
          </w:tcPr>
          <w:p>
            <w:r>
              <w:rPr>
                <w:b/>
              </w:rPr>
              <w:t>Tổng lương OT (VNĐ)</w:t>
            </w:r>
          </w:p>
        </w:tc>
      </w:tr>
      <w:tr>
        <w:tc>
          <w:tcPr>
            <w:tcW w:type="dxa" w:w="2351"/>
          </w:tcPr>
          <w:p>
            <w:r>
              <w:t>Nguyen Van A</w:t>
            </w:r>
          </w:p>
        </w:tc>
        <w:tc>
          <w:tcPr>
            <w:tcW w:type="dxa" w:w="2351"/>
          </w:tcPr>
          <w:p>
            <w:r>
              <w:t>10.000.000</w:t>
            </w:r>
          </w:p>
        </w:tc>
        <w:tc>
          <w:tcPr>
            <w:tcW w:type="dxa" w:w="2351"/>
          </w:tcPr>
          <w:p>
            <w:r>
              <w:t>5</w:t>
            </w:r>
          </w:p>
        </w:tc>
        <w:tc>
          <w:tcPr>
            <w:tcW w:type="dxa" w:w="2351"/>
          </w:tcPr>
          <w:p>
            <w:r>
              <w:t>1.250.000</w:t>
            </w:r>
          </w:p>
        </w:tc>
      </w:tr>
      <w:tr>
        <w:tc>
          <w:tcPr>
            <w:tcW w:type="dxa" w:w="2351"/>
          </w:tcPr>
          <w:p>
            <w:r>
              <w:t>Tran Thi B</w:t>
            </w:r>
          </w:p>
        </w:tc>
        <w:tc>
          <w:tcPr>
            <w:tcW w:type="dxa" w:w="2351"/>
          </w:tcPr>
          <w:p>
            <w:r>
              <w:t>8.000.000</w:t>
            </w:r>
          </w:p>
        </w:tc>
        <w:tc>
          <w:tcPr>
            <w:tcW w:type="dxa" w:w="2351"/>
          </w:tcPr>
          <w:p>
            <w:r>
              <w:t>3</w:t>
            </w:r>
          </w:p>
        </w:tc>
        <w:tc>
          <w:tcPr>
            <w:tcW w:type="dxa" w:w="2351"/>
          </w:tcPr>
          <w:p>
            <w:r>
              <w:t>360.000</w:t>
            </w:r>
          </w:p>
        </w:tc>
      </w:tr>
      <w:tr>
        <w:tc>
          <w:tcPr>
            <w:tcW w:type="dxa" w:w="2351"/>
          </w:tcPr>
          <w:p>
            <w:r>
              <w:t>Le Van C</w:t>
            </w:r>
          </w:p>
        </w:tc>
        <w:tc>
          <w:tcPr>
            <w:tcW w:type="dxa" w:w="2351"/>
          </w:tcPr>
          <w:p>
            <w:r>
              <w:t>12.000.000</w:t>
            </w:r>
          </w:p>
        </w:tc>
        <w:tc>
          <w:tcPr>
            <w:tcW w:type="dxa" w:w="2351"/>
          </w:tcPr>
          <w:p>
            <w:r>
              <w:t>10</w:t>
            </w:r>
          </w:p>
        </w:tc>
        <w:tc>
          <w:tcPr>
            <w:tcW w:type="dxa" w:w="2351"/>
          </w:tcPr>
          <w:p>
            <w:r>
              <w:t>3.000.000</w:t>
            </w:r>
          </w:p>
        </w:tc>
      </w:tr>
    </w:tbl>
    <w:p/>
    <w:p>
      <w:pPr>
        <w:pStyle w:val="Heading1"/>
        <w:spacing w:before="280" w:after="120"/>
      </w:pPr>
      <w:r>
        <w:t>IV. TRÁCH NHIỆM CỦA CÁC BỘ PHẬN VÀ CÁ NHÂN</w:t>
      </w:r>
    </w:p>
    <w:p>
      <w:pPr>
        <w:pStyle w:val="ListNumber"/>
        <w:spacing w:after="60"/>
      </w:pPr>
      <w:r>
        <w:t>1. Bộ phận Nhân sự</w:t>
      </w:r>
    </w:p>
    <w:p>
      <w:pPr>
        <w:pStyle w:val="ListBullet"/>
        <w:spacing w:after="60"/>
      </w:pPr>
      <w:r>
        <w:t>Thực hiện việc đào tạo nhân viên về quy trình tính lương OT.</w:t>
      </w:r>
    </w:p>
    <w:p>
      <w:pPr>
        <w:pStyle w:val="ListBullet"/>
        <w:spacing w:after="60"/>
      </w:pPr>
      <w:r>
        <w:t>Cập nhật thông tin liên quan đến lương và các khoản phụ cấp cho từng nhân viên.</w:t>
      </w:r>
    </w:p>
    <w:p>
      <w:pPr>
        <w:pStyle w:val="ListBullet"/>
        <w:spacing w:after="60"/>
      </w:pPr>
      <w:r>
        <w:t>Phối hợp với bộ phận kế toán để đảm bảo thanh toán kịp thời và chính xác.</w:t>
      </w:r>
    </w:p>
    <w:p>
      <w:pPr>
        <w:pStyle w:val="ListNumber"/>
        <w:spacing w:after="60"/>
      </w:pPr>
      <w:r>
        <w:t>2. Bộ phận Kế toán</w:t>
      </w:r>
    </w:p>
    <w:p>
      <w:pPr>
        <w:pStyle w:val="ListBullet"/>
        <w:spacing w:after="60"/>
      </w:pPr>
      <w:r>
        <w:t>Tổng hợp dữ liệu lương OT từ các bộ phận quản lý.</w:t>
      </w:r>
    </w:p>
    <w:p>
      <w:pPr>
        <w:pStyle w:val="ListBullet"/>
        <w:spacing w:after="60"/>
      </w:pPr>
      <w:r>
        <w:t>Chính xác hóa các khoản phụ cấp liên quan đến lương OT trước khi thanh toán.</w:t>
      </w:r>
    </w:p>
    <w:p>
      <w:pPr>
        <w:pStyle w:val="ListBullet"/>
        <w:spacing w:after="60"/>
      </w:pPr>
      <w:r>
        <w:t>Báo cáo tình hình chi phí lương cho Ban Giám đốc hàng tháng.</w:t>
      </w:r>
    </w:p>
    <w:p>
      <w:pPr>
        <w:pStyle w:val="ListNumber"/>
        <w:spacing w:after="60"/>
      </w:pPr>
      <w:r>
        <w:t>3. Bộ phận Quản lý</w:t>
      </w:r>
    </w:p>
    <w:p>
      <w:pPr>
        <w:pStyle w:val="ListBullet"/>
        <w:spacing w:after="60"/>
      </w:pPr>
      <w:r>
        <w:t>Theo dõi và xác nhận thời gian làm thêm giờ của nhân viên.</w:t>
      </w:r>
    </w:p>
    <w:p>
      <w:pPr>
        <w:pStyle w:val="ListBullet"/>
        <w:spacing w:after="60"/>
      </w:pPr>
      <w:r>
        <w:t>Hướng dẫn nhân viên ghi chép thời gian làm thêm một cách chính xác.</w:t>
      </w:r>
    </w:p>
    <w:p>
      <w:pPr>
        <w:pStyle w:val="ListBullet"/>
        <w:spacing w:after="60"/>
      </w:pPr>
      <w:r>
        <w:t>Đảm bảo nhân viên hiểu rõ các quy định liên quan đến lương OT.</w:t>
      </w:r>
    </w:p>
    <w:p>
      <w:pPr>
        <w:pStyle w:val="ListNumber"/>
        <w:spacing w:after="60"/>
      </w:pPr>
      <w:r>
        <w:t>4. Nhân viên</w:t>
      </w:r>
    </w:p>
    <w:p>
      <w:pPr>
        <w:pStyle w:val="ListBullet"/>
        <w:spacing w:after="60"/>
      </w:pPr>
      <w:r>
        <w:t>Ghi chép chính xác thời gian làm thêm của bản thân.</w:t>
      </w:r>
    </w:p>
    <w:p>
      <w:pPr>
        <w:pStyle w:val="ListBullet"/>
        <w:spacing w:after="60"/>
      </w:pPr>
      <w:r>
        <w:t>Nộp bảng theo dõi giờ làm việc cho bộ phận quản lý đúng hạn.</w:t>
      </w:r>
    </w:p>
    <w:p>
      <w:pPr>
        <w:pStyle w:val="ListBullet"/>
        <w:spacing w:after="60"/>
      </w:pPr>
      <w:r>
        <w:t>Thực hiện đầy đủ các quy trình liên quan đến việc nhận lương OT và các khoản phụ cấp.</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Vai trò/Bộ phận</w:t>
            </w:r>
          </w:p>
        </w:tc>
        <w:tc>
          <w:tcPr>
            <w:tcW w:type="dxa" w:w="2351"/>
          </w:tcPr>
          <w:p>
            <w:r>
              <w:rPr>
                <w:b/>
              </w:rPr>
              <w:t>Trách nhiệm 1</w:t>
            </w:r>
          </w:p>
        </w:tc>
        <w:tc>
          <w:tcPr>
            <w:tcW w:type="dxa" w:w="2351"/>
          </w:tcPr>
          <w:p>
            <w:r>
              <w:rPr>
                <w:b/>
              </w:rPr>
              <w:t>Trách nhiệm 2</w:t>
            </w:r>
          </w:p>
        </w:tc>
        <w:tc>
          <w:tcPr>
            <w:tcW w:type="dxa" w:w="2351"/>
          </w:tcPr>
          <w:p>
            <w:r>
              <w:rPr>
                <w:b/>
              </w:rPr>
              <w:t>Trách nhiệm 3</w:t>
            </w:r>
          </w:p>
        </w:tc>
      </w:tr>
      <w:tr>
        <w:tc>
          <w:tcPr>
            <w:tcW w:type="dxa" w:w="2351"/>
          </w:tcPr>
          <w:p>
            <w:r>
              <w:t>Bộ phận Nhân sự</w:t>
            </w:r>
          </w:p>
        </w:tc>
        <w:tc>
          <w:tcPr>
            <w:tcW w:type="dxa" w:w="2351"/>
          </w:tcPr>
          <w:p>
            <w:r>
              <w:t>Đào tạo về quy định lương</w:t>
            </w:r>
          </w:p>
        </w:tc>
        <w:tc>
          <w:tcPr>
            <w:tcW w:type="dxa" w:w="2351"/>
          </w:tcPr>
          <w:p>
            <w:r>
              <w:t>Cập nhật thông tin</w:t>
            </w:r>
          </w:p>
        </w:tc>
        <w:tc>
          <w:tcPr>
            <w:tcW w:type="dxa" w:w="2351"/>
          </w:tcPr>
          <w:p>
            <w:r>
              <w:t>Phối hợp thanh toán</w:t>
            </w:r>
          </w:p>
        </w:tc>
      </w:tr>
      <w:tr>
        <w:tc>
          <w:tcPr>
            <w:tcW w:type="dxa" w:w="2351"/>
          </w:tcPr>
          <w:p>
            <w:r>
              <w:t>Bộ phận Kế toán</w:t>
            </w:r>
          </w:p>
        </w:tc>
        <w:tc>
          <w:tcPr>
            <w:tcW w:type="dxa" w:w="2351"/>
          </w:tcPr>
          <w:p>
            <w:r>
              <w:t>Tổng hợp dữ liệu</w:t>
            </w:r>
          </w:p>
        </w:tc>
        <w:tc>
          <w:tcPr>
            <w:tcW w:type="dxa" w:w="2351"/>
          </w:tcPr>
          <w:p>
            <w:r>
              <w:t>Chính xác hóa phụ cấp</w:t>
            </w:r>
          </w:p>
        </w:tc>
        <w:tc>
          <w:tcPr>
            <w:tcW w:type="dxa" w:w="2351"/>
          </w:tcPr>
          <w:p>
            <w:r>
              <w:t>Báo cáo chi phí</w:t>
            </w:r>
          </w:p>
        </w:tc>
      </w:tr>
      <w:tr>
        <w:tc>
          <w:tcPr>
            <w:tcW w:type="dxa" w:w="2351"/>
          </w:tcPr>
          <w:p>
            <w:r>
              <w:t>Bộ phận Quản lý</w:t>
            </w:r>
          </w:p>
        </w:tc>
        <w:tc>
          <w:tcPr>
            <w:tcW w:type="dxa" w:w="2351"/>
          </w:tcPr>
          <w:p>
            <w:r>
              <w:t>Theo dõi thời gian làm thêm</w:t>
            </w:r>
          </w:p>
        </w:tc>
        <w:tc>
          <w:tcPr>
            <w:tcW w:type="dxa" w:w="2351"/>
          </w:tcPr>
          <w:p>
            <w:r>
              <w:t>Hướng dẫn nhân viên</w:t>
            </w:r>
          </w:p>
        </w:tc>
        <w:tc>
          <w:tcPr>
            <w:tcW w:type="dxa" w:w="2351"/>
          </w:tcPr>
          <w:p>
            <w:r>
              <w:t>Đảm bảo thông tin</w:t>
            </w:r>
          </w:p>
        </w:tc>
      </w:tr>
      <w:tr>
        <w:tc>
          <w:tcPr>
            <w:tcW w:type="dxa" w:w="2351"/>
          </w:tcPr>
          <w:p>
            <w:r>
              <w:t>Nhân viên</w:t>
            </w:r>
          </w:p>
        </w:tc>
        <w:tc>
          <w:tcPr>
            <w:tcW w:type="dxa" w:w="2351"/>
          </w:tcPr>
          <w:p>
            <w:r>
              <w:t>Ghi chép thời gian OT</w:t>
            </w:r>
          </w:p>
        </w:tc>
        <w:tc>
          <w:tcPr>
            <w:tcW w:type="dxa" w:w="2351"/>
          </w:tcPr>
          <w:p>
            <w:r>
              <w:t>Nộp bảng theo dõi</w:t>
            </w:r>
          </w:p>
        </w:tc>
        <w:tc>
          <w:tcPr>
            <w:tcW w:type="dxa" w:w="2351"/>
          </w:tcPr>
          <w:p>
            <w:r>
              <w:t>Thực hiện quy trình</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Không ghi chép thời gian làm thêm</w:t>
            </w:r>
          </w:p>
        </w:tc>
        <w:tc>
          <w:tcPr>
            <w:tcW w:type="dxa" w:w="2351"/>
          </w:tcPr>
          <w:p>
            <w:r>
              <w:t>1 lần</w:t>
            </w:r>
          </w:p>
        </w:tc>
        <w:tc>
          <w:tcPr>
            <w:tcW w:type="dxa" w:w="2351"/>
          </w:tcPr>
          <w:p>
            <w:r>
              <w:t>Nhắc nhở</w:t>
            </w:r>
          </w:p>
        </w:tc>
        <w:tc>
          <w:tcPr>
            <w:tcW w:type="dxa" w:w="2351"/>
          </w:tcPr>
          <w:p>
            <w:r>
              <w:t>500.000</w:t>
            </w:r>
          </w:p>
        </w:tc>
      </w:tr>
      <w:tr>
        <w:tc>
          <w:tcPr>
            <w:tcW w:type="dxa" w:w="2351"/>
          </w:tcPr>
          <w:p>
            <w:r>
              <w:t>Ghi chép thời gian không chính xác</w:t>
            </w:r>
          </w:p>
        </w:tc>
        <w:tc>
          <w:tcPr>
            <w:tcW w:type="dxa" w:w="2351"/>
          </w:tcPr>
          <w:p>
            <w:r>
              <w:t>2 lần</w:t>
            </w:r>
          </w:p>
        </w:tc>
        <w:tc>
          <w:tcPr>
            <w:tcW w:type="dxa" w:w="2351"/>
          </w:tcPr>
          <w:p>
            <w:r>
              <w:t>Cảnh cáo</w:t>
            </w:r>
          </w:p>
        </w:tc>
        <w:tc>
          <w:tcPr>
            <w:tcW w:type="dxa" w:w="2351"/>
          </w:tcPr>
          <w:p>
            <w:r>
              <w:t>1.000.000</w:t>
            </w:r>
          </w:p>
        </w:tc>
      </w:tr>
      <w:tr>
        <w:tc>
          <w:tcPr>
            <w:tcW w:type="dxa" w:w="2351"/>
          </w:tcPr>
          <w:p>
            <w:r>
              <w:t>Không nộp bảng theo dõi đúng hạn</w:t>
            </w:r>
          </w:p>
        </w:tc>
        <w:tc>
          <w:tcPr>
            <w:tcW w:type="dxa" w:w="2351"/>
          </w:tcPr>
          <w:p>
            <w:r>
              <w:t>3 lần</w:t>
            </w:r>
          </w:p>
        </w:tc>
        <w:tc>
          <w:tcPr>
            <w:tcW w:type="dxa" w:w="2351"/>
          </w:tcPr>
          <w:p>
            <w:r>
              <w:t>Kỷ luật</w:t>
            </w:r>
          </w:p>
        </w:tc>
        <w:tc>
          <w:tcPr>
            <w:tcW w:type="dxa" w:w="2351"/>
          </w:tcPr>
          <w:p>
            <w:r>
              <w:t>2.000.000</w:t>
            </w:r>
          </w:p>
        </w:tc>
      </w:tr>
      <w:tr>
        <w:tc>
          <w:tcPr>
            <w:tcW w:type="dxa" w:w="2351"/>
          </w:tcPr>
          <w:p>
            <w:r>
              <w:t>Lạm dụng thời gian làm thêm giờ</w:t>
            </w:r>
          </w:p>
        </w:tc>
        <w:tc>
          <w:tcPr>
            <w:tcW w:type="dxa" w:w="2351"/>
          </w:tcPr>
          <w:p>
            <w:r>
              <w:t>1 lần</w:t>
            </w:r>
          </w:p>
        </w:tc>
        <w:tc>
          <w:tcPr>
            <w:tcW w:type="dxa" w:w="2351"/>
          </w:tcPr>
          <w:p>
            <w:r>
              <w:t>Sa thải</w:t>
            </w:r>
          </w:p>
        </w:tc>
        <w:tc>
          <w:tcPr>
            <w:tcW w:type="dxa" w:w="2351"/>
          </w:tcPr>
          <w:p>
            <w:r>
              <w:t>5.000.000</w:t>
            </w:r>
          </w:p>
        </w:tc>
      </w:tr>
    </w:tbl>
    <w:p/>
    <w:p>
      <w:pPr>
        <w:pStyle w:val="Heading1"/>
        <w:spacing w:before="280" w:after="120"/>
      </w:pPr>
      <w:r>
        <w:t>VI. ĐIỀU KHOẢN THI HÀNH</w:t>
      </w:r>
    </w:p>
    <w:p>
      <w:pPr>
        <w:spacing w:after="120"/>
      </w:pPr>
      <w:r>
        <w:t>Quy định này có hiệu lực từ ngày 01/07/2026. Tất cả các văn bản quy định trước đây liên quan đến tính lương OT và các khoản phụ cấp làm thêm giờ sẽ bị bãi bỏ. Trách nhiệm phổ biến quy định này thuộc về bộ phận Nhân sự và các bộ phận liên quan. Mọi thay đổi hoặc sửa đổi quy định sẽ được thông báo đến toàn thể nhân viên qua email công ty và trên hệ thống quản lý nội bộ.</w:t>
      </w:r>
    </w:p>
    <w:p>
      <w:pPr>
        <w:spacing w:after="120"/>
      </w:pPr>
      <w:r>
        <w:t>TP. Ho Chi Minh, ngày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