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VSF/34_QD_DANH_GIA_KET_T</w:t>
      </w:r>
    </w:p>
    <w:p/>
    <w:p>
      <w:pPr>
        <w:jc w:val="center"/>
      </w:pPr>
      <w:r>
        <w:rPr>
          <w:b/>
          <w:sz w:val="28"/>
        </w:rPr>
        <w:t>QUY CHẾ ĐÁNH GIÁ KẾT THÚC THỬ VIỆC VÀ KÝ KẾT CHÍNH THỨC</w:t>
      </w:r>
    </w:p>
    <w:p/>
    <w:p>
      <w:pPr>
        <w:pStyle w:val="Heading1"/>
        <w:spacing w:before="280" w:after="120"/>
      </w:pPr>
      <w:r>
        <w:t>CÔNG TY TNHH CÔNG NGHỆ VSF</w:t>
      </w:r>
    </w:p>
    <w:p>
      <w:pPr>
        <w:spacing w:after="120"/>
      </w:pPr>
      <w:r>
        <w:t>Số: 01/QC-VSF</w:t>
      </w:r>
    </w:p>
    <w:p>
      <w:pPr>
        <w:pStyle w:val="Heading1"/>
        <w:spacing w:before="280" w:after="120"/>
      </w:pPr>
      <w:r>
        <w:t>I. PHẠM VI VÀ ĐỐI TƯỢNG ÁP DỤNG</w:t>
      </w:r>
    </w:p>
    <w:p>
      <w:pPr>
        <w:spacing w:after="120"/>
      </w:pPr>
      <w:r>
        <w:t>Quy chế này áp dụng cho toàn bộ nhân viên mới tuyển dụng của Công ty TNHH Công nghệ VSF trong thời gian thử việc. Thời gian thử việc được quy định cụ thể theo từng vị trí công việc và không quá 60 ngày làm việc. Quy chế này không áp dụng cho các đối tượng là nhân viên đã ký hợp đồng chính thức hoặc những nhân viên đang trong giai đoạn nghỉ việc, nghỉ thai sản, hoặc các trường hợp đặc biệt khác theo quy định của pháp luật lao động Việt Nam. Quy chế cũng không áp dụng cho các hợp đồng lao động ngắn hạn dưới 1 tháng.</w:t>
      </w:r>
    </w:p>
    <w:p>
      <w:pPr>
        <w:pStyle w:val="Heading1"/>
        <w:spacing w:before="280" w:after="120"/>
      </w:pPr>
      <w:r>
        <w:t>II. ĐỊNH NGHĨA VÀ GIẢI THÍCH THUẬT NGỮ</w:t>
      </w:r>
    </w:p>
    <w:p>
      <w:pPr>
        <w:pStyle w:val="ListNumber"/>
        <w:spacing w:after="60"/>
      </w:pPr>
      <w:r>
        <w:t>1. Thử việc: Thời gian mà nhân viên mới làm việc tại công ty nhằm đánh giá khả năng làm việc của họ trước khi ký hợp đồng lao động chính thức.</w:t>
      </w:r>
    </w:p>
    <w:p>
      <w:pPr>
        <w:pStyle w:val="ListNumber"/>
        <w:spacing w:after="60"/>
      </w:pPr>
      <w:r>
        <w:t>2. Ký hợp đồng chính thức: Quá trình pháp lý mà nhà tuyển dụng và nhân viên thỏa thuận và ký kết hợp đồng lao động chính thức sau khi hoàn tất thời gian thử việc.</w:t>
      </w:r>
    </w:p>
    <w:p>
      <w:pPr>
        <w:pStyle w:val="ListNumber"/>
        <w:spacing w:after="60"/>
      </w:pPr>
      <w:r>
        <w:t>3. KPI (Key Performance Indicators): Những chỉ số đánh giá năng suất và hiệu quả công việc của nhân viên trong thời gian thử việc.</w:t>
      </w:r>
    </w:p>
    <w:p>
      <w:pPr>
        <w:pStyle w:val="ListNumber"/>
        <w:spacing w:after="60"/>
      </w:pPr>
      <w:r>
        <w:t>4. Đánh giá năng lực: Quy trình đánh giá khả năng chuyên môn, kỹ năng và thái độ làm việc của nhân viên trong thời gian thử việc.</w:t>
      </w:r>
    </w:p>
    <w:p>
      <w:pPr>
        <w:pStyle w:val="ListNumber"/>
        <w:spacing w:after="60"/>
      </w:pPr>
      <w:r>
        <w:t>5. Quản lý trực tiếp: Người đứng đầu bộ phận hoặc người phụ trách trực tiếp nhân viên trong quá trình thử việc.</w:t>
      </w:r>
    </w:p>
    <w:p>
      <w:pPr>
        <w:pStyle w:val="ListNumber"/>
        <w:spacing w:after="60"/>
      </w:pPr>
      <w:r>
        <w:t>6. HR (Human Resources): Bộ phận nhân sự của công ty, có trách nhiệm quản lý nguồn nhân lực và các chính sách liên quan đến nhân viên.</w:t>
      </w:r>
    </w:p>
    <w:p>
      <w:pPr>
        <w:pStyle w:val="Heading1"/>
        <w:spacing w:before="280" w:after="120"/>
      </w:pPr>
      <w:r>
        <w:t>III. NỘI DUNG QUY ĐỊNH / QUY TRÌNH CHI TIẾT</w:t>
      </w:r>
    </w:p>
    <w:p>
      <w:pPr>
        <w:pStyle w:val="Heading2"/>
        <w:spacing w:before="200" w:after="80"/>
      </w:pPr>
      <w:r>
        <w:t>3.1. Thời gian thử việc</w:t>
      </w:r>
    </w:p>
    <w:p>
      <w:pPr>
        <w:pStyle w:val="ListBullet"/>
        <w:spacing w:after="60"/>
      </w:pPr>
      <w:r>
        <w:t>Thời gian thử việc được xác định theo từng vị trí công việc, thông thường từ 30 đến 60 ngày.</w:t>
      </w:r>
    </w:p>
    <w:p>
      <w:pPr>
        <w:pStyle w:val="ListBullet"/>
        <w:spacing w:after="60"/>
      </w:pPr>
      <w:r>
        <w:t>Nhân viên sẽ nhận mức lương thử việc tương ứng với vị trí, không thấp hơn 85% mức lương chính thức.</w:t>
      </w:r>
    </w:p>
    <w:p>
      <w:pPr>
        <w:pStyle w:val="ListBullet"/>
        <w:spacing w:after="60"/>
      </w:pPr>
      <w:r>
        <w:t>Đối với các vị trí đặc thù, thời gian thử việc có thể kéo dài nhưng không quá 90 ngày, sau đó cần có sự xem xét và phê duyệt từ Giám đốc.</w:t>
      </w:r>
    </w:p>
    <w:p>
      <w:pPr>
        <w:pStyle w:val="Heading2"/>
        <w:spacing w:before="200" w:after="80"/>
      </w:pPr>
      <w:r>
        <w:t>3.2. Tiêu chí đánh giá</w:t>
      </w:r>
    </w:p>
    <w:p>
      <w:pPr>
        <w:pStyle w:val="ListBullet"/>
        <w:spacing w:after="60"/>
      </w:pPr>
      <w:r>
        <w:t>Đánh giá kỹ năng: Các kỹ năng chuyên môn, kỹ năng mềm và khả năng làm việc nhóm.</w:t>
      </w:r>
    </w:p>
    <w:p>
      <w:pPr>
        <w:pStyle w:val="ListBullet"/>
        <w:spacing w:after="60"/>
      </w:pPr>
      <w:r>
        <w:t>Đánh giá thái độ: Thái độ làm việc, tinh thần cầu tiến và sự hòa nhập vào văn hóa công ty.</w:t>
      </w:r>
    </w:p>
    <w:p>
      <w:pPr>
        <w:pStyle w:val="ListBullet"/>
        <w:spacing w:after="60"/>
      </w:pPr>
      <w:r>
        <w:t>KPI thử việc: Các chỉ số cụ thể sẽ được thiết lập cho từng vị trí và thông báo cho nhân viên trong ngày đầu tiên làm việc.</w:t>
      </w:r>
    </w:p>
    <w:p>
      <w:pPr>
        <w:pStyle w:val="Heading2"/>
        <w:spacing w:before="200" w:after="80"/>
      </w:pPr>
      <w:r>
        <w:t>3.3. Quy trình đánh giá</w:t>
      </w:r>
    </w:p>
    <w:p>
      <w:pPr>
        <w:pStyle w:val="ListBullet"/>
        <w:spacing w:after="60"/>
      </w:pPr>
      <w:r>
        <w:t>Quản lý trực tiếp sẽ thực hiện đánh giá kết thúc thử việc dựa trên các tiêu chí đã thiết lập.</w:t>
      </w:r>
    </w:p>
    <w:p>
      <w:pPr>
        <w:pStyle w:val="ListBullet"/>
        <w:spacing w:after="60"/>
      </w:pPr>
      <w:r>
        <w:t>HR sẽ tổng hợp thông tin đánh giá và đưa ra nhận định cuối cùng về việc ký hợp đồng chính thức.</w:t>
      </w:r>
    </w:p>
    <w:p>
      <w:pPr>
        <w:pStyle w:val="ListBullet"/>
        <w:spacing w:after="60"/>
      </w:pPr>
      <w:r>
        <w:t>Nhân viên sẽ được thông báo kết quả đánh giá trong vòng 5 ngày làm việc sau khi kết thúc thời gian thử việc.</w:t>
      </w:r>
    </w:p>
    <w:p>
      <w:pPr>
        <w:pStyle w:val="Heading2"/>
        <w:spacing w:before="200" w:after="80"/>
      </w:pPr>
      <w:r>
        <w:t>3.4. Quyết định ký kết hợp đồng chính thức</w:t>
      </w:r>
    </w:p>
    <w:p>
      <w:pPr>
        <w:pStyle w:val="ListBullet"/>
        <w:spacing w:after="60"/>
      </w:pPr>
      <w:r>
        <w:t>Nếu nhân viên đạt yêu cầu, công ty sẽ tiến hành ký hợp đồng lao động chính thức.</w:t>
      </w:r>
    </w:p>
    <w:p>
      <w:pPr>
        <w:pStyle w:val="ListBullet"/>
        <w:spacing w:after="60"/>
      </w:pPr>
      <w:r>
        <w:t>Trong trường hợp không đạt yêu cầu, HR sẽ thông báo cho nhân viên lý do không ký hợp đồng và hướng dẫn các bước tiếp theo.</w:t>
      </w:r>
    </w:p>
    <w:p>
      <w:pPr>
        <w:pStyle w:val="ListBullet"/>
        <w:spacing w:after="60"/>
      </w:pPr>
      <w:r>
        <w:t>Tất cả quyết định đều phải được ghi chép đầy đủ trong hồ sơ nhân viên.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Tiêu chí</w:t>
            </w:r>
          </w:p>
        </w:tc>
        <w:tc>
          <w:tcPr>
            <w:tcW w:type="dxa" w:w="3135"/>
          </w:tcPr>
          <w:p>
            <w:r>
              <w:rPr>
                <w:b/>
              </w:rPr>
              <w:t>Đánh giá</w:t>
            </w:r>
          </w:p>
        </w:tc>
        <w:tc>
          <w:tcPr>
            <w:tcW w:type="dxa" w:w="3135"/>
          </w:tcPr>
          <w:p>
            <w:r>
              <w:rPr>
                <w:b/>
              </w:rPr>
              <w:t>Mức độ</w:t>
            </w:r>
          </w:p>
        </w:tc>
      </w:tr>
      <w:tr>
        <w:tc>
          <w:tcPr>
            <w:tcW w:type="dxa" w:w="3135"/>
          </w:tcPr>
          <w:p>
            <w:r>
              <w:t>Kỹ năng</w:t>
            </w:r>
          </w:p>
        </w:tc>
        <w:tc>
          <w:tcPr>
            <w:tcW w:type="dxa" w:w="3135"/>
          </w:tcPr>
          <w:p>
            <w:r>
              <w:t>Đạt</w:t>
            </w:r>
          </w:p>
        </w:tc>
        <w:tc>
          <w:tcPr>
            <w:tcW w:type="dxa" w:w="3135"/>
          </w:tcPr>
          <w:p>
            <w:r>
              <w:t>Không đạt</w:t>
            </w:r>
          </w:p>
        </w:tc>
      </w:tr>
      <w:tr>
        <w:tc>
          <w:tcPr>
            <w:tcW w:type="dxa" w:w="3135"/>
          </w:tcPr>
          <w:p>
            <w:r>
              <w:t>Thái độ</w:t>
            </w:r>
          </w:p>
        </w:tc>
        <w:tc>
          <w:tcPr>
            <w:tcW w:type="dxa" w:w="3135"/>
          </w:tcPr>
          <w:p>
            <w:r>
              <w:t>Đạt</w:t>
            </w:r>
          </w:p>
        </w:tc>
        <w:tc>
          <w:tcPr>
            <w:tcW w:type="dxa" w:w="3135"/>
          </w:tcPr>
          <w:p>
            <w:r>
              <w:t>Không đạt</w:t>
            </w:r>
          </w:p>
        </w:tc>
      </w:tr>
      <w:tr>
        <w:tc>
          <w:tcPr>
            <w:tcW w:type="dxa" w:w="3135"/>
          </w:tcPr>
          <w:p>
            <w:r>
              <w:t>KPI</w:t>
            </w:r>
          </w:p>
        </w:tc>
        <w:tc>
          <w:tcPr>
            <w:tcW w:type="dxa" w:w="3135"/>
          </w:tcPr>
          <w:p>
            <w:r>
              <w:t>Đạt</w:t>
            </w:r>
          </w:p>
        </w:tc>
        <w:tc>
          <w:tcPr>
            <w:tcW w:type="dxa" w:w="3135"/>
          </w:tcPr>
          <w:p>
            <w:r>
              <w:t>Không đạt</w:t>
            </w:r>
          </w:p>
        </w:tc>
      </w:tr>
    </w:tbl>
    <w:p/>
    <w:p>
      <w:pPr>
        <w:pStyle w:val="Heading2"/>
        <w:spacing w:before="200" w:after="80"/>
      </w:pPr>
      <w:r>
        <w:t>3.5. Thông báo kết quả</w:t>
      </w:r>
    </w:p>
    <w:p>
      <w:pPr>
        <w:pStyle w:val="ListBullet"/>
        <w:spacing w:after="60"/>
      </w:pPr>
      <w:r>
        <w:t>HR có trách nhiệm thông báo kết quả đánh giá cho nhân viên và quản lý trực tiếp.</w:t>
      </w:r>
    </w:p>
    <w:p>
      <w:pPr>
        <w:pStyle w:val="ListBullet"/>
        <w:spacing w:after="60"/>
      </w:pPr>
      <w:r>
        <w:t>Thông báo phải được thực hiện bằng văn bản để đảm bảo tính minh bạch.</w:t>
      </w:r>
    </w:p>
    <w:p>
      <w:pPr>
        <w:pStyle w:val="ListBullet"/>
        <w:spacing w:after="60"/>
      </w:pPr>
      <w:r>
        <w:t>Nhân viên có quyền khiếu nại về quyết định đánh giá nếu có lý do chính đáng.</w:t>
      </w:r>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Bộ phận</w:t>
            </w:r>
          </w:p>
        </w:tc>
        <w:tc>
          <w:tcPr>
            <w:tcW w:type="dxa" w:w="3135"/>
          </w:tcPr>
          <w:p>
            <w:r>
              <w:rPr>
                <w:b/>
              </w:rPr>
              <w:t>Trách nhiệm</w:t>
            </w:r>
          </w:p>
        </w:tc>
        <w:tc>
          <w:tcPr>
            <w:tcW w:type="dxa" w:w="3135"/>
          </w:tcPr>
          <w:p>
            <w:r>
              <w:rPr>
                <w:b/>
              </w:rPr>
              <w:t>Nội dung</w:t>
            </w:r>
          </w:p>
        </w:tc>
      </w:tr>
      <w:tr>
        <w:tc>
          <w:tcPr>
            <w:tcW w:type="dxa" w:w="3135"/>
          </w:tcPr>
          <w:p>
            <w:r>
              <w:t>Quản lý trực tiếp</w:t>
            </w:r>
          </w:p>
        </w:tc>
        <w:tc>
          <w:tcPr>
            <w:tcW w:type="dxa" w:w="3135"/>
          </w:tcPr>
          <w:p>
            <w:r>
              <w:t>Đánh giá nhân viên</w:t>
            </w:r>
          </w:p>
        </w:tc>
        <w:tc>
          <w:tcPr>
            <w:tcW w:type="dxa" w:w="3135"/>
          </w:tcPr>
          <w:p>
            <w:r>
              <w:t>Thực hiện đánh giá kỹ năng, thái độ của nhân viên.</w:t>
            </w:r>
          </w:p>
        </w:tc>
      </w:tr>
      <w:tr>
        <w:tc>
          <w:tcPr>
            <w:tcW w:type="dxa" w:w="3135"/>
          </w:tcPr>
          <w:p>
            <w:r>
              <w:t>HR</w:t>
            </w:r>
          </w:p>
        </w:tc>
        <w:tc>
          <w:tcPr>
            <w:tcW w:type="dxa" w:w="3135"/>
          </w:tcPr>
          <w:p>
            <w:r>
              <w:t>Tổng hợp đánh giá</w:t>
            </w:r>
          </w:p>
        </w:tc>
        <w:tc>
          <w:tcPr>
            <w:tcW w:type="dxa" w:w="3135"/>
          </w:tcPr>
          <w:p>
            <w:r>
              <w:t>Tổng hợp ý kiến từ quản lý và đưa ra quyết định cuối cùng.</w:t>
            </w:r>
          </w:p>
        </w:tc>
      </w:tr>
      <w:tr>
        <w:tc>
          <w:tcPr>
            <w:tcW w:type="dxa" w:w="3135"/>
          </w:tcPr>
          <w:p>
            <w:r>
              <w:t>Nhân viên thử việc</w:t>
            </w:r>
          </w:p>
        </w:tc>
        <w:tc>
          <w:tcPr>
            <w:tcW w:type="dxa" w:w="3135"/>
          </w:tcPr>
          <w:p>
            <w:r>
              <w:t>Thực hiện công việc</w:t>
            </w:r>
          </w:p>
        </w:tc>
        <w:tc>
          <w:tcPr>
            <w:tcW w:type="dxa" w:w="3135"/>
          </w:tcPr>
          <w:p>
            <w:r>
              <w:t>Thực hiện đúng nhiệm vụ và đạt yêu cầu đề ra.</w:t>
            </w:r>
          </w:p>
        </w:tc>
      </w:tr>
      <w:tr>
        <w:tc>
          <w:tcPr>
            <w:tcW w:type="dxa" w:w="3135"/>
          </w:tcPr>
          <w:p>
            <w:r>
              <w:t>Giám đốc</w:t>
            </w:r>
          </w:p>
        </w:tc>
        <w:tc>
          <w:tcPr>
            <w:tcW w:type="dxa" w:w="3135"/>
          </w:tcPr>
          <w:p>
            <w:r>
              <w:t>Phê duyệt</w:t>
            </w:r>
          </w:p>
        </w:tc>
        <w:tc>
          <w:tcPr>
            <w:tcW w:type="dxa" w:w="3135"/>
          </w:tcPr>
          <w:p>
            <w:r>
              <w:t>Phê duyệt các quyết định ký hợp đồng chính thức.</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w:t>
            </w:r>
          </w:p>
        </w:tc>
        <w:tc>
          <w:tcPr>
            <w:tcW w:type="dxa" w:w="2351"/>
          </w:tcPr>
          <w:p>
            <w:r>
              <w:rPr>
                <w:b/>
              </w:rPr>
              <w:t>Hình thức xử lý</w:t>
            </w:r>
          </w:p>
        </w:tc>
        <w:tc>
          <w:tcPr>
            <w:tcW w:type="dxa" w:w="2351"/>
          </w:tcPr>
          <w:p>
            <w:r>
              <w:rPr>
                <w:b/>
              </w:rPr>
              <w:t>Mức phạt (VNĐ)</w:t>
            </w:r>
          </w:p>
        </w:tc>
      </w:tr>
      <w:tr>
        <w:tc>
          <w:tcPr>
            <w:tcW w:type="dxa" w:w="2351"/>
          </w:tcPr>
          <w:p>
            <w:r>
              <w:t>Không đạt tiêu chí kỹ năng</w:t>
            </w:r>
          </w:p>
        </w:tc>
        <w:tc>
          <w:tcPr>
            <w:tcW w:type="dxa" w:w="2351"/>
          </w:tcPr>
          <w:p>
            <w:r>
              <w:t>1 lần</w:t>
            </w:r>
          </w:p>
        </w:tc>
        <w:tc>
          <w:tcPr>
            <w:tcW w:type="dxa" w:w="2351"/>
          </w:tcPr>
          <w:p>
            <w:r>
              <w:t>Cảnh cáo</w:t>
            </w:r>
          </w:p>
        </w:tc>
        <w:tc>
          <w:tcPr>
            <w:tcW w:type="dxa" w:w="2351"/>
          </w:tcPr>
          <w:p>
            <w:r>
              <w:t>500.000</w:t>
            </w:r>
          </w:p>
        </w:tc>
      </w:tr>
      <w:tr>
        <w:tc>
          <w:tcPr>
            <w:tcW w:type="dxa" w:w="2351"/>
          </w:tcPr>
          <w:p>
            <w:r>
              <w:t>Không đạt tiêu chí thái độ</w:t>
            </w:r>
          </w:p>
        </w:tc>
        <w:tc>
          <w:tcPr>
            <w:tcW w:type="dxa" w:w="2351"/>
          </w:tcPr>
          <w:p>
            <w:r>
              <w:t>2 lần</w:t>
            </w:r>
          </w:p>
        </w:tc>
        <w:tc>
          <w:tcPr>
            <w:tcW w:type="dxa" w:w="2351"/>
          </w:tcPr>
          <w:p>
            <w:r>
              <w:t>Cắt giảm lương thử việc</w:t>
            </w:r>
          </w:p>
        </w:tc>
        <w:tc>
          <w:tcPr>
            <w:tcW w:type="dxa" w:w="2351"/>
          </w:tcPr>
          <w:p>
            <w:r>
              <w:t>1.000.000</w:t>
            </w:r>
          </w:p>
        </w:tc>
      </w:tr>
      <w:tr>
        <w:tc>
          <w:tcPr>
            <w:tcW w:type="dxa" w:w="2351"/>
          </w:tcPr>
          <w:p>
            <w:r>
              <w:t>Không thực hiện KPI</w:t>
            </w:r>
          </w:p>
        </w:tc>
        <w:tc>
          <w:tcPr>
            <w:tcW w:type="dxa" w:w="2351"/>
          </w:tcPr>
          <w:p>
            <w:r>
              <w:t>3 lần</w:t>
            </w:r>
          </w:p>
        </w:tc>
        <w:tc>
          <w:tcPr>
            <w:tcW w:type="dxa" w:w="2351"/>
          </w:tcPr>
          <w:p>
            <w:r>
              <w:t>Không ký hợp đồng chính thức</w:t>
            </w:r>
          </w:p>
        </w:tc>
        <w:tc>
          <w:tcPr>
            <w:tcW w:type="dxa" w:w="2351"/>
          </w:tcPr>
          <w:p>
            <w:r>
              <w:t>2.000.000</w:t>
            </w:r>
          </w:p>
        </w:tc>
      </w:tr>
      <w:tr>
        <w:tc>
          <w:tcPr>
            <w:tcW w:type="dxa" w:w="2351"/>
          </w:tcPr>
          <w:p>
            <w:r>
              <w:t>Vi phạm quy định công ty</w:t>
            </w:r>
          </w:p>
        </w:tc>
        <w:tc>
          <w:tcPr>
            <w:tcW w:type="dxa" w:w="2351"/>
          </w:tcPr>
          <w:p>
            <w:r>
              <w:t>1 lần</w:t>
            </w:r>
          </w:p>
        </w:tc>
        <w:tc>
          <w:tcPr>
            <w:tcW w:type="dxa" w:w="2351"/>
          </w:tcPr>
          <w:p>
            <w:r>
              <w:t>Kỷ luật</w:t>
            </w:r>
          </w:p>
        </w:tc>
        <w:tc>
          <w:tcPr>
            <w:tcW w:type="dxa" w:w="2351"/>
          </w:tcPr>
          <w:p>
            <w:r>
              <w:t>1.500.000</w:t>
            </w:r>
          </w:p>
        </w:tc>
      </w:tr>
    </w:tbl>
    <w:p/>
    <w:p>
      <w:pPr>
        <w:pStyle w:val="Heading1"/>
        <w:spacing w:before="280" w:after="120"/>
      </w:pPr>
      <w:r>
        <w:t>VI. ĐIỀU KHOẢN THI HÀNH</w:t>
      </w:r>
    </w:p>
    <w:p>
      <w:pPr>
        <w:spacing w:after="120"/>
      </w:pPr>
      <w:r>
        <w:t>Quy chế này có hiệu lực từ ngày 01/07/2026 và sẽ bãi bỏ các quy định cũ liên quan đến đánh giá kết thúc thử việc đã được ban hành trước đó. Trách nhiệm phổ biến quy chế này thuộc về bộ phận nhân sự của công ty. Mọi ý kiến đóng góp và sửa đổi sẽ được xem xét và cập nhật theo quy trình của công ty.</w:t>
      </w:r>
    </w:p>
    <w:p>
      <w:pPr>
        <w:spacing w:after="120"/>
      </w:pPr>
      <w:r>
        <w:t>TP. Hồ Chí Minh, ngày 01 tháng 07 năm 2026</w:t>
      </w:r>
    </w:p>
    <w:p>
      <w:pPr>
        <w:pStyle w:val="Heading1"/>
        <w:spacing w:before="280" w:after="120"/>
      </w:pPr>
      <w:r>
        <w:t>GIÁM ĐỐC ĐIỀU HÀNH</w:t>
      </w:r>
    </w:p>
    <w:p>
      <w:pPr>
        <w:spacing w:after="120"/>
      </w:pPr>
      <w:r>
        <w:t>Nguyễn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