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VSF/36_QD_XU_PHAT_DI_MUO</w:t>
      </w:r>
    </w:p>
    <w:p/>
    <w:p>
      <w:pPr>
        <w:jc w:val="center"/>
      </w:pPr>
      <w:r>
        <w:rPr>
          <w:b/>
          <w:sz w:val="28"/>
        </w:rPr>
        <w:t>QUY CHẾ XỬ PHẠT ĐI MUỘN, VỀ SỚM VÀ VẮNG KHÔNG PHÉP</w:t>
      </w:r>
    </w:p>
    <w:p/>
    <w:p>
      <w:pPr>
        <w:pStyle w:val="Heading1"/>
        <w:spacing w:before="280" w:after="120"/>
      </w:pPr>
      <w:r>
        <w:t>CÔNG TY TNHH CÔNG NGHỆ VSF</w:t>
      </w:r>
    </w:p>
    <w:p>
      <w:pPr>
        <w:spacing w:after="120"/>
      </w:pPr>
      <w:r>
        <w:t>Số: 12/QC-VSF TP. Hồ Chí Minh, ngày 01 tháng 07 năm 2026</w:t>
      </w:r>
    </w:p>
    <w:p>
      <w:pPr>
        <w:pStyle w:val="Heading1"/>
        <w:spacing w:before="280" w:after="120"/>
      </w:pPr>
      <w:r>
        <w:t>I. PHẠM VI VÀ ĐỐI TƯỢNG ÁP DỤNG</w:t>
      </w:r>
    </w:p>
    <w:p>
      <w:pPr>
        <w:spacing w:after="120"/>
      </w:pPr>
      <w:r>
        <w:t>Quy chế này áp dụng đối với toàn thể cán bộ, nhân viên của Công ty TNHH Công nghệ VSF, bao gồm tất cả các phòng ban, bộ phận trong công ty. Thời gian áp dụng quy chế này bắt đầu từ 01/07/2026. Quy chế này không áp dụng đối với những trường hợp lực lượng lao động không chính thức, thực tập sinh và nhân viên làm việc theo hợp đồng ngắn hạn dưới 3 tháng. Đối với những trường hợp có lý do chính đáng như ốm đau, tai nạn hoặc lý do bất khả kháng khác, nhân viên cần có thông báo và chứng từ hợp lệ để được xem xét miễn trừ và không bị xử phạt theo quy chế này.</w:t>
      </w:r>
    </w:p>
    <w:p>
      <w:pPr>
        <w:pStyle w:val="Heading1"/>
        <w:spacing w:before="280" w:after="120"/>
      </w:pPr>
      <w:r>
        <w:t>II. ĐỊNH NGHĨA VÀ GIẢI THÍCH THUẬT NGỮ</w:t>
      </w:r>
    </w:p>
    <w:p>
      <w:pPr>
        <w:pStyle w:val="ListNumber"/>
        <w:spacing w:after="60"/>
      </w:pPr>
      <w:r>
        <w:t>1. Đi muộn: Là việc nhân viên không có mặt tại nơi làm việc đúng giờ quy định, cụ thể là sau 15 phút so với giờ vào làm việc chính thức.</w:t>
      </w:r>
    </w:p>
    <w:p>
      <w:pPr>
        <w:pStyle w:val="ListNumber"/>
        <w:spacing w:after="60"/>
      </w:pPr>
      <w:r>
        <w:t>2. Về sớm: Là việc nhân viên rời khỏi nơi làm việc trước thời gian quy định, cụ thể là trước 15 phút so với giờ tan ca chính thức.</w:t>
      </w:r>
    </w:p>
    <w:p>
      <w:pPr>
        <w:pStyle w:val="ListNumber"/>
        <w:spacing w:after="60"/>
      </w:pPr>
      <w:r>
        <w:t>3. Vắng không phép: Là trường hợp nhân viên không có mặt tại nơi làm việc trong giờ làm việc mà không có lý do chính đáng và không thông báo cho cấp trên.</w:t>
      </w:r>
    </w:p>
    <w:p>
      <w:pPr>
        <w:pStyle w:val="ListNumber"/>
        <w:spacing w:after="60"/>
      </w:pPr>
      <w:r>
        <w:t>4. Cảnh cáo: Là hình thức xử lý vi phạm nhằm nhắc nhở nhân viên về hành vi đi muộn, về sớm hoặc vắng không phép mà không bị trừ lương.</w:t>
      </w:r>
    </w:p>
    <w:p>
      <w:pPr>
        <w:pStyle w:val="ListNumber"/>
        <w:spacing w:after="60"/>
      </w:pPr>
      <w:r>
        <w:t>5. Trừ lương: Là hình thức xử lý vi phạm mà công ty sẽ trừ một phần tiền lương của nhân viên tương ứng với số lần vi phạm.</w:t>
      </w:r>
    </w:p>
    <w:p>
      <w:pPr>
        <w:pStyle w:val="ListNumber"/>
        <w:spacing w:after="60"/>
      </w:pPr>
      <w:r>
        <w:t>6. Kỷ luật: Là hình thức xử lý vi phạm nghiêm trọng hơn, có thể dẫn đến việc chấm dứt hợp đồng lao động nếu hành vi vi phạm lặp lại nhiều lần.</w:t>
      </w:r>
    </w:p>
    <w:p>
      <w:pPr>
        <w:pStyle w:val="Heading1"/>
        <w:spacing w:before="280" w:after="120"/>
      </w:pPr>
      <w:r>
        <w:t>III. NỘI DUNG QUY ĐỊNH / QUY TRÌNH CHI TIẾT</w:t>
      </w:r>
    </w:p>
    <w:p>
      <w:pPr>
        <w:pStyle w:val="Heading2"/>
        <w:spacing w:before="200" w:after="80"/>
      </w:pPr>
      <w:r>
        <w:t>3.1 Quy định về thời gian làm việc</w:t>
      </w:r>
    </w:p>
    <w:p>
      <w:pPr>
        <w:pStyle w:val="ListBullet"/>
        <w:spacing w:after="60"/>
      </w:pPr>
      <w:r>
        <w:t>Giờ làm việc chính thức của công ty là từ 8h00 đến 17h00 từ thứ Hai đến thứ Sáu.</w:t>
      </w:r>
    </w:p>
    <w:p>
      <w:pPr>
        <w:pStyle w:val="ListBullet"/>
        <w:spacing w:after="60"/>
      </w:pPr>
      <w:r>
        <w:t>Nhân viên phải có mặt tại nơi làm việc trước 8h00 để thực hiện công việc.</w:t>
      </w:r>
    </w:p>
    <w:p>
      <w:pPr>
        <w:pStyle w:val="ListBullet"/>
        <w:spacing w:after="60"/>
      </w:pPr>
      <w:r>
        <w:t>Mọi sự thay đổi về giờ làm việc sẽ được thông báo trước 03 ngày làm việc.</w:t>
      </w:r>
    </w:p>
    <w:p>
      <w:pPr>
        <w:pStyle w:val="Heading2"/>
        <w:spacing w:before="200" w:after="80"/>
      </w:pPr>
      <w:r>
        <w:t>3.2 Quy định về đi muộn</w:t>
      </w:r>
    </w:p>
    <w:p>
      <w:pPr>
        <w:pStyle w:val="ListBullet"/>
        <w:spacing w:after="60"/>
      </w:pPr>
      <w:r>
        <w:t>Nhân viên đi muộn quá 15 phút sẽ được tính là đi muộn.</w:t>
      </w:r>
    </w:p>
    <w:p>
      <w:pPr>
        <w:pStyle w:val="ListBullet"/>
        <w:spacing w:after="60"/>
      </w:pPr>
      <w:r>
        <w:t>Mỗi nhân viên chỉ được phép đi muộn tối đa 3 lần trong một tháng, lần thứ 4 sẽ bị xử lý theo quy định.</w:t>
      </w:r>
    </w:p>
    <w:p>
      <w:pPr>
        <w:pStyle w:val="ListBullet"/>
        <w:spacing w:after="60"/>
      </w:pPr>
      <w:r>
        <w:t>Nhân viên đi muộn phải thông báo cho người quản lý trực tiếp.</w:t>
      </w:r>
    </w:p>
    <w:p>
      <w:pPr>
        <w:pStyle w:val="Heading2"/>
        <w:spacing w:before="200" w:after="80"/>
      </w:pPr>
      <w:r>
        <w:t>3.3 Quy định về về sớm</w:t>
      </w:r>
    </w:p>
    <w:p>
      <w:pPr>
        <w:pStyle w:val="ListBullet"/>
        <w:spacing w:after="60"/>
      </w:pPr>
      <w:r>
        <w:t>Nhân viên rời khỏi công ty trước 16h45 sẽ được tính là về sớm.</w:t>
      </w:r>
    </w:p>
    <w:p>
      <w:pPr>
        <w:pStyle w:val="ListBullet"/>
        <w:spacing w:after="60"/>
      </w:pPr>
      <w:r>
        <w:t>Mỗi nhân viên chỉ được phép về sớm tối đa 3 lần trong một tháng, lần thứ 4 sẽ bị xử lý theo quy định.</w:t>
      </w:r>
    </w:p>
    <w:p>
      <w:pPr>
        <w:pStyle w:val="ListBullet"/>
        <w:spacing w:after="60"/>
      </w:pPr>
      <w:r>
        <w:t>Nhân viên về sớm phải có sự đồng ý của người quản lý trực tiếp.</w:t>
      </w:r>
    </w:p>
    <w:p>
      <w:pPr>
        <w:pStyle w:val="Heading2"/>
        <w:spacing w:before="200" w:after="80"/>
      </w:pPr>
      <w:r>
        <w:t>3.4 Quy định về vắng không phép</w:t>
      </w:r>
    </w:p>
    <w:p>
      <w:pPr>
        <w:pStyle w:val="ListBullet"/>
        <w:spacing w:after="60"/>
      </w:pPr>
      <w:r>
        <w:t>Nhân viên không có mặt tại nơi làm việc mà không thông báo sẽ bị coi là vắng không phép.</w:t>
      </w:r>
    </w:p>
    <w:p>
      <w:pPr>
        <w:pStyle w:val="ListBullet"/>
        <w:spacing w:after="60"/>
      </w:pPr>
      <w:r>
        <w:t>Nhân viên phải thông báo cho phòng Nhân sự và quản lý trực tiếp ít nhất 1 ngày trước khi vắng mặt.</w:t>
      </w:r>
    </w:p>
    <w:p>
      <w:pPr>
        <w:pStyle w:val="ListBullet"/>
        <w:spacing w:after="60"/>
      </w:pPr>
      <w:r>
        <w:t>Trong trường hợp vắng không phép, nhân viên sẽ bị xử lý theo quy định.</w:t>
      </w:r>
    </w:p>
    <w:p>
      <w:pPr>
        <w:pStyle w:val="Heading2"/>
        <w:spacing w:before="200" w:after="80"/>
      </w:pPr>
      <w:r>
        <w:t>3.5 Quy trình xác nhận vi phạm</w:t>
      </w:r>
    </w:p>
    <w:p>
      <w:pPr>
        <w:pStyle w:val="ListBullet"/>
        <w:spacing w:after="60"/>
      </w:pPr>
      <w:r>
        <w:t>Người quản lý trực tiếp có trách nhiệm ghi nhận và báo cáo tình trạng đi muộn, về sớm, vắng không phép của nhân viên.</w:t>
      </w:r>
    </w:p>
    <w:p>
      <w:pPr>
        <w:pStyle w:val="ListBullet"/>
        <w:spacing w:after="60"/>
      </w:pPr>
      <w:r>
        <w:t>Phòng Nhân sự sẽ tổng hợp và lưu trữ thông tin vi phạm hàng tháng.</w:t>
      </w:r>
    </w:p>
    <w:p>
      <w:pPr>
        <w:pStyle w:val="ListBullet"/>
        <w:spacing w:after="60"/>
      </w:pPr>
      <w:r>
        <w:t>Nhân viên có quyền kháng nghị kết quả xử lý vi phạm trong vòng 5 ngày làm việc kể từ ngày nhận thông báo.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 TRONG THÁNG</w:t>
            </w:r>
          </w:p>
        </w:tc>
        <w:tc>
          <w:tcPr>
            <w:tcW w:type="dxa" w:w="2351"/>
          </w:tcPr>
          <w:p>
            <w:r>
              <w:rPr>
                <w:b/>
              </w:rPr>
              <w:t>HÌNH THỨC XỬ LÝ</w:t>
            </w:r>
          </w:p>
        </w:tc>
        <w:tc>
          <w:tcPr>
            <w:tcW w:type="dxa" w:w="2351"/>
          </w:tcPr>
          <w:p>
            <w:r>
              <w:rPr>
                <w:b/>
              </w:rPr>
              <w:t>MỨC TIỀN PHẠT (VNĐ)</w:t>
            </w:r>
          </w:p>
        </w:tc>
      </w:tr>
      <w:tr>
        <w:tc>
          <w:tcPr>
            <w:tcW w:type="dxa" w:w="2351"/>
          </w:tcPr>
          <w:p>
            <w:r>
              <w:t>Đi muộn (1 lần)</w:t>
            </w:r>
          </w:p>
        </w:tc>
        <w:tc>
          <w:tcPr>
            <w:tcW w:type="dxa" w:w="2351"/>
          </w:tcPr>
          <w:p>
            <w:r>
              <w:t>1</w:t>
            </w:r>
          </w:p>
        </w:tc>
        <w:tc>
          <w:tcPr>
            <w:tcW w:type="dxa" w:w="2351"/>
          </w:tcPr>
          <w:p>
            <w:r>
              <w:t>Cảnh cáo</w:t>
            </w:r>
          </w:p>
        </w:tc>
        <w:tc>
          <w:tcPr>
            <w:tcW w:type="dxa" w:w="2351"/>
          </w:tcPr>
          <w:p>
            <w:r>
              <w:t>0</w:t>
            </w:r>
          </w:p>
        </w:tc>
      </w:tr>
      <w:tr>
        <w:tc>
          <w:tcPr>
            <w:tcW w:type="dxa" w:w="2351"/>
          </w:tcPr>
          <w:p>
            <w:r>
              <w:t>Đi muộn (2 lần)</w:t>
            </w:r>
          </w:p>
        </w:tc>
        <w:tc>
          <w:tcPr>
            <w:tcW w:type="dxa" w:w="2351"/>
          </w:tcPr>
          <w:p>
            <w:r>
              <w:t>2</w:t>
            </w:r>
          </w:p>
        </w:tc>
        <w:tc>
          <w:tcPr>
            <w:tcW w:type="dxa" w:w="2351"/>
          </w:tcPr>
          <w:p>
            <w:r>
              <w:t>Cảnh cáo</w:t>
            </w:r>
          </w:p>
        </w:tc>
        <w:tc>
          <w:tcPr>
            <w:tcW w:type="dxa" w:w="2351"/>
          </w:tcPr>
          <w:p>
            <w:r>
              <w:t>0</w:t>
            </w:r>
          </w:p>
        </w:tc>
      </w:tr>
      <w:tr>
        <w:tc>
          <w:tcPr>
            <w:tcW w:type="dxa" w:w="2351"/>
          </w:tcPr>
          <w:p>
            <w:r>
              <w:t>Đi muộn (3 lần)</w:t>
            </w:r>
          </w:p>
        </w:tc>
        <w:tc>
          <w:tcPr>
            <w:tcW w:type="dxa" w:w="2351"/>
          </w:tcPr>
          <w:p>
            <w:r>
              <w:t>3</w:t>
            </w:r>
          </w:p>
        </w:tc>
        <w:tc>
          <w:tcPr>
            <w:tcW w:type="dxa" w:w="2351"/>
          </w:tcPr>
          <w:p>
            <w:r>
              <w:t>Trừ lương 10%</w:t>
            </w:r>
          </w:p>
        </w:tc>
        <w:tc>
          <w:tcPr>
            <w:tcW w:type="dxa" w:w="2351"/>
          </w:tcPr>
          <w:p>
            <w:r>
              <w:t>500.000</w:t>
            </w:r>
          </w:p>
        </w:tc>
      </w:tr>
      <w:tr>
        <w:tc>
          <w:tcPr>
            <w:tcW w:type="dxa" w:w="2351"/>
          </w:tcPr>
          <w:p>
            <w:r>
              <w:t>Đi muộn (4 lần trở lên)</w:t>
            </w:r>
          </w:p>
        </w:tc>
        <w:tc>
          <w:tcPr>
            <w:tcW w:type="dxa" w:w="2351"/>
          </w:tcPr>
          <w:p>
            <w:r>
              <w:t>4</w:t>
            </w:r>
          </w:p>
        </w:tc>
        <w:tc>
          <w:tcPr>
            <w:tcW w:type="dxa" w:w="2351"/>
          </w:tcPr>
          <w:p>
            <w:r>
              <w:t>Kỷ luật</w:t>
            </w:r>
          </w:p>
        </w:tc>
        <w:tc>
          <w:tcPr>
            <w:tcW w:type="dxa" w:w="2351"/>
          </w:tcPr>
          <w:p>
            <w:r>
              <w:t>Tùy theo mức độ</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Quản lý trực tiếp</w:t>
            </w:r>
          </w:p>
        </w:tc>
        <w:tc>
          <w:tcPr>
            <w:tcW w:type="dxa" w:w="4702"/>
          </w:tcPr>
          <w:p>
            <w:r>
              <w:t>Theo dõi tình trạng đi muộn, về sớm, vắng không phép của nhân viên.</w:t>
            </w:r>
          </w:p>
        </w:tc>
      </w:tr>
      <w:tr>
        <w:tc>
          <w:tcPr>
            <w:tcW w:type="dxa" w:w="4702"/>
          </w:tcPr>
          <w:p>
            <w:r>
              <w:t>Nhân sự</w:t>
            </w:r>
          </w:p>
        </w:tc>
        <w:tc>
          <w:tcPr>
            <w:tcW w:type="dxa" w:w="4702"/>
          </w:tcPr>
          <w:p>
            <w:r>
              <w:t>Tổng hợp báo cáo vi phạm và lưu trữ thông tin.</w:t>
            </w:r>
          </w:p>
        </w:tc>
      </w:tr>
      <w:tr>
        <w:tc>
          <w:tcPr>
            <w:tcW w:type="dxa" w:w="4702"/>
          </w:tcPr>
          <w:p>
            <w:r>
              <w:t>Nhân viên</w:t>
            </w:r>
          </w:p>
        </w:tc>
        <w:tc>
          <w:tcPr>
            <w:tcW w:type="dxa" w:w="4702"/>
          </w:tcPr>
          <w:p>
            <w:r>
              <w:t>Thực hiện đúng giờ giấc làm việc và thông báo khi có việc cần thiết.</w:t>
            </w:r>
          </w:p>
        </w:tc>
      </w:tr>
      <w:tr>
        <w:tc>
          <w:tcPr>
            <w:tcW w:type="dxa" w:w="4702"/>
          </w:tcPr>
          <w:p>
            <w:r>
              <w:t>Giám đốc</w:t>
            </w:r>
          </w:p>
        </w:tc>
        <w:tc>
          <w:tcPr>
            <w:tcW w:type="dxa" w:w="4702"/>
          </w:tcPr>
          <w:p>
            <w:r>
              <w:t>Phê duyệt các quyết định xử lý vi phạm theo quy định.</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 TRONG THÁNG</w:t>
            </w:r>
          </w:p>
        </w:tc>
        <w:tc>
          <w:tcPr>
            <w:tcW w:type="dxa" w:w="2351"/>
          </w:tcPr>
          <w:p>
            <w:r>
              <w:rPr>
                <w:b/>
              </w:rPr>
              <w:t>HÌNH THỨC XỬ LÝ</w:t>
            </w:r>
          </w:p>
        </w:tc>
        <w:tc>
          <w:tcPr>
            <w:tcW w:type="dxa" w:w="2351"/>
          </w:tcPr>
          <w:p>
            <w:r>
              <w:rPr>
                <w:b/>
              </w:rPr>
              <w:t>MỨC TIỀN PHẠT (VNĐ)</w:t>
            </w:r>
          </w:p>
        </w:tc>
      </w:tr>
      <w:tr>
        <w:tc>
          <w:tcPr>
            <w:tcW w:type="dxa" w:w="2351"/>
          </w:tcPr>
          <w:p>
            <w:r>
              <w:t>Vắng không phép (1 lần)</w:t>
            </w:r>
          </w:p>
        </w:tc>
        <w:tc>
          <w:tcPr>
            <w:tcW w:type="dxa" w:w="2351"/>
          </w:tcPr>
          <w:p>
            <w:r>
              <w:t>1</w:t>
            </w:r>
          </w:p>
        </w:tc>
        <w:tc>
          <w:tcPr>
            <w:tcW w:type="dxa" w:w="2351"/>
          </w:tcPr>
          <w:p>
            <w:r>
              <w:t>Cảnh cáo</w:t>
            </w:r>
          </w:p>
        </w:tc>
        <w:tc>
          <w:tcPr>
            <w:tcW w:type="dxa" w:w="2351"/>
          </w:tcPr>
          <w:p>
            <w:r>
              <w:t>0</w:t>
            </w:r>
          </w:p>
        </w:tc>
      </w:tr>
      <w:tr>
        <w:tc>
          <w:tcPr>
            <w:tcW w:type="dxa" w:w="2351"/>
          </w:tcPr>
          <w:p>
            <w:r>
              <w:t>Vắng không phép (2 lần)</w:t>
            </w:r>
          </w:p>
        </w:tc>
        <w:tc>
          <w:tcPr>
            <w:tcW w:type="dxa" w:w="2351"/>
          </w:tcPr>
          <w:p>
            <w:r>
              <w:t>2</w:t>
            </w:r>
          </w:p>
        </w:tc>
        <w:tc>
          <w:tcPr>
            <w:tcW w:type="dxa" w:w="2351"/>
          </w:tcPr>
          <w:p>
            <w:r>
              <w:t>Trừ lương 20%</w:t>
            </w:r>
          </w:p>
        </w:tc>
        <w:tc>
          <w:tcPr>
            <w:tcW w:type="dxa" w:w="2351"/>
          </w:tcPr>
          <w:p>
            <w:r>
              <w:t>1.000.000</w:t>
            </w:r>
          </w:p>
        </w:tc>
      </w:tr>
      <w:tr>
        <w:tc>
          <w:tcPr>
            <w:tcW w:type="dxa" w:w="2351"/>
          </w:tcPr>
          <w:p>
            <w:r>
              <w:t>Vắng không phép (3 lần)</w:t>
            </w:r>
          </w:p>
        </w:tc>
        <w:tc>
          <w:tcPr>
            <w:tcW w:type="dxa" w:w="2351"/>
          </w:tcPr>
          <w:p>
            <w:r>
              <w:t>3</w:t>
            </w:r>
          </w:p>
        </w:tc>
        <w:tc>
          <w:tcPr>
            <w:tcW w:type="dxa" w:w="2351"/>
          </w:tcPr>
          <w:p>
            <w:r>
              <w:t>Trừ lương 50%</w:t>
            </w:r>
          </w:p>
        </w:tc>
        <w:tc>
          <w:tcPr>
            <w:tcW w:type="dxa" w:w="2351"/>
          </w:tcPr>
          <w:p>
            <w:r>
              <w:t>2.000.000</w:t>
            </w:r>
          </w:p>
        </w:tc>
      </w:tr>
      <w:tr>
        <w:tc>
          <w:tcPr>
            <w:tcW w:type="dxa" w:w="2351"/>
          </w:tcPr>
          <w:p>
            <w:r>
              <w:t>Vắng không phép (4 lần trở lên)</w:t>
            </w:r>
          </w:p>
        </w:tc>
        <w:tc>
          <w:tcPr>
            <w:tcW w:type="dxa" w:w="2351"/>
          </w:tcPr>
          <w:p>
            <w:r>
              <w:t>4</w:t>
            </w:r>
          </w:p>
        </w:tc>
        <w:tc>
          <w:tcPr>
            <w:tcW w:type="dxa" w:w="2351"/>
          </w:tcPr>
          <w:p>
            <w:r>
              <w:t>Kỷ luật</w:t>
            </w:r>
          </w:p>
        </w:tc>
        <w:tc>
          <w:tcPr>
            <w:tcW w:type="dxa" w:w="2351"/>
          </w:tcPr>
          <w:p>
            <w:r>
              <w:t>Tùy theo mức độ</w:t>
            </w:r>
          </w:p>
        </w:tc>
      </w:tr>
    </w:tbl>
    <w:p/>
    <w:p>
      <w:pPr>
        <w:pStyle w:val="Heading1"/>
        <w:spacing w:before="280" w:after="120"/>
      </w:pPr>
      <w:r>
        <w:t>VI. ĐIỀU KHOẢN THI HÀNH</w:t>
      </w:r>
    </w:p>
    <w:p>
      <w:pPr>
        <w:spacing w:after="120"/>
      </w:pPr>
      <w:r>
        <w:t>Quy chế này có hiệu lực từ ngày 01/07/2026 và sẽ bãi bỏ tất cả các quy định trước đây liên quan đến việc xử lý đi muộn, về sớm và vắng không phép. Trách nhiệm phổ biến quy chế này thuộc về phòng Nhân sự và các bộ phận liên quan. Mọi sửa đổi và cập nhật quy chế sẽ được thực hiện khi cần thiết và sẽ được thông báo đến toàn thể nhân viên.</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