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VSF/37_QD_NDA_BAO_MAT_VA</w:t>
      </w:r>
    </w:p>
    <w:p/>
    <w:p>
      <w:pPr>
        <w:jc w:val="center"/>
      </w:pPr>
      <w:r>
        <w:rPr>
          <w:b/>
          <w:sz w:val="28"/>
        </w:rPr>
        <w:t>THỎA THUẬN BẢO MẬT THÔNG TIN (NDA) VÀ CHẾ TÀI XỬ LÝ RÒ RỈ</w:t>
      </w:r>
    </w:p>
    <w:p/>
    <w:p>
      <w:pPr>
        <w:pStyle w:val="Heading1"/>
        <w:spacing w:before="280" w:after="120"/>
      </w:pPr>
      <w:r>
        <w:t>CÔNG TY TNHH CÔNG NGHỆ VSF</w:t>
      </w:r>
    </w:p>
    <w:p>
      <w:pPr>
        <w:spacing w:after="120"/>
      </w:pPr>
      <w:r>
        <w:t>Địa chỉ: [Địa chỉ công ty] Điện thoại: [Số điện thoại] Email: [Email công ty]</w:t>
      </w:r>
    </w:p>
    <w:p>
      <w:pPr>
        <w:pStyle w:val="Heading1"/>
        <w:spacing w:before="280" w:after="120"/>
      </w:pPr>
      <w:r>
        <w:t>THỎA THUẬN BẢO MẬT THÔNG TIN (NDA) VÀ CHẾ TÀI XỬ LÝ RÒ RỈ</w:t>
      </w:r>
    </w:p>
    <w:p>
      <w:pPr>
        <w:pStyle w:val="Heading1"/>
        <w:spacing w:before="280" w:after="120"/>
      </w:pPr>
      <w:r>
        <w:t>I. PHẠM VI VÀ ĐỐI TƯỢNG ÁP DỤNG</w:t>
      </w:r>
    </w:p>
    <w:p>
      <w:pPr>
        <w:spacing w:after="120"/>
      </w:pPr>
      <w:r>
        <w:t>Thỏa thuận Bảo mật thông tin (NDA) này áp dụng cho tất cả nhân viên, cán bộ, cộng tác viên, nhà thầu và bất kỳ ai có quyền truy cập vào thông tin của Công ty TNHH Công nghệ VSF. Phạm vi áp dụng bao gồm tất cả các thông tin mật thuộc quyền sở hữu của công ty, bao gồm nhưng không giới hạn ở mã nguồn, dữ liệu khách hàng, chiến lược kinh doanh, tài liệu kỹ thuật, và bất kỳ thông tin nào không được công khai.</w:t>
      </w:r>
    </w:p>
    <w:p>
      <w:pPr>
        <w:spacing w:after="120"/>
      </w:pPr>
      <w:r>
        <w:t>Thỏa thuận này có hiệu lực tại văn phòng Công ty TNHH Công nghệ VSF và tất cả các chi nhánh, phòng ban liên quan. Thời gian áp dụng bắt đầu từ ngày nhân viên ký hợp đồng lao động và kéo dài cho đến khi thông tin mật không còn tính chất bảo mật hoặc cho đến khi nhân viên thôi việc, trừ khi có quy định khác trong hợp đồng lao động. Các đối tượng ngoại lệ bao gồm các thông tin đã được công khai hoặc được phép tiết lộ theo quy định của pháp luật.</w:t>
      </w:r>
    </w:p>
    <w:p>
      <w:pPr>
        <w:pStyle w:val="Heading1"/>
        <w:spacing w:before="280" w:after="120"/>
      </w:pPr>
      <w:r>
        <w:t>II. ĐỊNH NGHĨA VÀ GIẢI THÍCH THUẬT NGỮ</w:t>
      </w:r>
    </w:p>
    <w:p>
      <w:pPr>
        <w:pStyle w:val="ListNumber"/>
        <w:spacing w:after="60"/>
      </w:pPr>
      <w:r>
        <w:t>1. Thông tin mật: Là tất cả các thông tin không công khai mà công ty sở hữu, bao gồm nhưng không giới hạn ở mã nguồn, dữ liệu khách hàng, chiến lược phát triển sản phẩm và tài liệu nghiên cứu.</w:t>
      </w:r>
    </w:p>
    <w:p>
      <w:pPr>
        <w:pStyle w:val="ListNumber"/>
        <w:spacing w:after="60"/>
      </w:pPr>
      <w:r>
        <w:t>2. Nhân viên: Là tất cả các cá nhân làm việc cho Công ty TNHH Công nghệ VSF, bao gồm cả nhân viên chính thức, nhân viên thử việc, cộng tác viên và nhà thầu.</w:t>
      </w:r>
    </w:p>
    <w:p>
      <w:pPr>
        <w:pStyle w:val="ListNumber"/>
        <w:spacing w:after="60"/>
      </w:pPr>
      <w:r>
        <w:t>3. Rò rỉ thông tin: Là hành vi tiết lộ thông tin mật ra ngoài công ty mà không có sự cho phép của người có thẩm quyền.</w:t>
      </w:r>
    </w:p>
    <w:p>
      <w:pPr>
        <w:pStyle w:val="ListNumber"/>
        <w:spacing w:after="60"/>
      </w:pPr>
      <w:r>
        <w:t>4. Hành vi vi phạm: Là các hành động hoặc thiếu sót của nhân viên dẫn đến việc không tuân thủ các quy định bảo mật thông tin.</w:t>
      </w:r>
    </w:p>
    <w:p>
      <w:pPr>
        <w:pStyle w:val="ListNumber"/>
        <w:spacing w:after="60"/>
      </w:pPr>
      <w:r>
        <w:t>5. Chế tài xử lý: Là các hình thức xử lý kỷ luật hoặc pháp lý áp dụng đối với những cá nhân hoặc tổ chức vi phạm quy định bảo mật thông tin.</w:t>
      </w:r>
    </w:p>
    <w:p>
      <w:pPr>
        <w:pStyle w:val="ListNumber"/>
        <w:spacing w:after="60"/>
      </w:pPr>
      <w:r>
        <w:t>6. Quy trình điều tra: Là các bước thực hiện để xác minh và xử lý các hành vi rò rỉ thông tin, bao gồm việc thu thập chứng cứ và xác định trách nhiệm.</w:t>
      </w:r>
    </w:p>
    <w:p>
      <w:pPr>
        <w:pStyle w:val="Heading1"/>
        <w:spacing w:before="280" w:after="120"/>
      </w:pPr>
      <w:r>
        <w:t>III. NỘI DUNG QUY ĐỊNH / QUY TRÌNH CHI TIẾT</w:t>
      </w:r>
    </w:p>
    <w:p>
      <w:pPr>
        <w:pStyle w:val="Heading2"/>
        <w:spacing w:before="200" w:after="80"/>
      </w:pPr>
      <w:r>
        <w:t>3.1. Nghĩa vụ bảo mật thông tin</w:t>
      </w:r>
    </w:p>
    <w:p>
      <w:pPr>
        <w:pStyle w:val="ListBullet"/>
        <w:spacing w:after="60"/>
      </w:pPr>
      <w:r>
        <w:t>Nhân viên phải giữ bí mật tất cả các thông tin mật liên quan đến công ty và không được tiết lộ cho bất kỳ bên thứ ba nào.</w:t>
      </w:r>
    </w:p>
    <w:p>
      <w:pPr>
        <w:pStyle w:val="ListBullet"/>
        <w:spacing w:after="60"/>
      </w:pPr>
      <w:r>
        <w:t>Nhân viên không được sao chép, phân phối, hoặc sử dụng thông tin mật cho mục đích cá nhân hoặc bên ngoài công ty.</w:t>
      </w:r>
    </w:p>
    <w:p>
      <w:pPr>
        <w:pStyle w:val="ListBullet"/>
        <w:spacing w:after="60"/>
      </w:pPr>
      <w:r>
        <w:t>Nhân viên phải thông báo ngay cho cấp quản lý khi phát hiện có hành vi rò rỉ thông tin.</w:t>
      </w:r>
    </w:p>
    <w:p>
      <w:pPr>
        <w:pStyle w:val="Heading2"/>
        <w:spacing w:before="200" w:after="80"/>
      </w:pPr>
      <w:r>
        <w:t>3.2. Thời hạn hiệu lực của NDA</w:t>
      </w:r>
    </w:p>
    <w:p>
      <w:pPr>
        <w:pStyle w:val="ListBullet"/>
        <w:spacing w:after="60"/>
      </w:pPr>
      <w:r>
        <w:t>Thỏa thuận bảo mật có hiệu lực ngay khi nhân viên ký hợp đồng lao động và kéo dài cho đến khi thông tin không còn tính chất bảo mật.</w:t>
      </w:r>
    </w:p>
    <w:p>
      <w:pPr>
        <w:pStyle w:val="ListBullet"/>
        <w:spacing w:after="60"/>
      </w:pPr>
      <w:r>
        <w:t>Thời gian bảo mật vẫn có hiệu lực trong vòng 5 năm sau khi nhân viên nghỉ việc.</w:t>
      </w:r>
    </w:p>
    <w:p>
      <w:pPr>
        <w:pStyle w:val="ListBullet"/>
        <w:spacing w:after="60"/>
      </w:pPr>
      <w:r>
        <w:t>Nhân viên sẽ được thông báo về việc chấm dứt hiệu lực của NDA khi thông tin không còn mật.</w:t>
      </w:r>
    </w:p>
    <w:p>
      <w:pPr>
        <w:pStyle w:val="Heading2"/>
        <w:spacing w:before="200" w:after="80"/>
      </w:pPr>
      <w:r>
        <w:t>3.3. Các hành vi bị cấm</w:t>
      </w:r>
    </w:p>
    <w:p>
      <w:pPr>
        <w:pStyle w:val="ListBullet"/>
        <w:spacing w:after="60"/>
      </w:pPr>
      <w:r>
        <w:t>Tiết lộ thông tin mật cho bên thứ ba mà không có sự đồng ý của công ty.</w:t>
      </w:r>
    </w:p>
    <w:p>
      <w:pPr>
        <w:pStyle w:val="ListBullet"/>
        <w:spacing w:after="60"/>
      </w:pPr>
      <w:r>
        <w:t>Sử dụng thông tin mật vào mục đích cá nhân hoặc để cạnh tranh với công ty.</w:t>
      </w:r>
    </w:p>
    <w:p>
      <w:pPr>
        <w:pStyle w:val="ListBullet"/>
        <w:spacing w:after="60"/>
      </w:pPr>
      <w:r>
        <w:t>Không thực hiện các biện pháp bảo vệ thông tin mật theo quy định của công ty.</w:t>
      </w:r>
    </w:p>
    <w:p>
      <w:pPr>
        <w:pStyle w:val="Heading2"/>
        <w:spacing w:before="200" w:after="80"/>
      </w:pPr>
      <w:r>
        <w:t>3.4. Hậu quả pháp lý khi vi phạm</w:t>
      </w:r>
    </w:p>
    <w:p>
      <w:pPr>
        <w:pStyle w:val="ListBullet"/>
        <w:spacing w:after="60"/>
      </w:pPr>
      <w:r>
        <w:t>Nhân viên vi phạm có thể bị xử lý kỷ luật, bao gồm cả việc chấm dứt hợp đồng lao động.</w:t>
      </w:r>
    </w:p>
    <w:p>
      <w:pPr>
        <w:pStyle w:val="ListBullet"/>
        <w:spacing w:after="60"/>
      </w:pPr>
      <w:r>
        <w:t>Công ty có quyền yêu cầu bồi thường thiệt hại do hành vi vi phạm gây ra.</w:t>
      </w:r>
    </w:p>
    <w:p>
      <w:pPr>
        <w:pStyle w:val="ListBullet"/>
        <w:spacing w:after="60"/>
      </w:pPr>
      <w:r>
        <w:t>Nếu cần thiết, công ty sẽ khởi kiện để bảo vệ quyền lợi hợp pháp của mình.</w:t>
      </w:r>
    </w:p>
    <w:p>
      <w:pPr>
        <w:pStyle w:val="Heading2"/>
        <w:spacing w:before="200" w:after="80"/>
      </w:pPr>
      <w:r>
        <w:t>3.5. Quy trình điều tra rò rỉ thông tin</w:t>
      </w:r>
    </w:p>
    <w:p>
      <w:pPr>
        <w:pStyle w:val="ListBullet"/>
        <w:spacing w:after="60"/>
      </w:pPr>
      <w:r>
        <w:t>Khi phát hiện rò rỉ thông tin, cấp quản lý phải lập tức tiến hành điều tra nội bộ.</w:t>
      </w:r>
    </w:p>
    <w:p>
      <w:pPr>
        <w:pStyle w:val="ListBullet"/>
        <w:spacing w:after="60"/>
      </w:pPr>
      <w:r>
        <w:t>Các nhân viên liên quan sẽ bị triệu tập để cung cấp thông tin và chứng cứ.</w:t>
      </w:r>
    </w:p>
    <w:p>
      <w:pPr>
        <w:pStyle w:val="ListBullet"/>
        <w:spacing w:after="60"/>
      </w:pPr>
      <w:r>
        <w:t>Kết quả điều tra sẽ được báo cáo lên ban lãnh đạo công ty và đưa ra các biện pháp xử lý cần thiết.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NỘI DUNG THÔNG TIN MẬT</w:t>
            </w:r>
          </w:p>
        </w:tc>
        <w:tc>
          <w:tcPr>
            <w:tcW w:type="dxa" w:w="3135"/>
          </w:tcPr>
          <w:p>
            <w:r>
              <w:rPr>
                <w:b/>
              </w:rPr>
              <w:t>PHƯƠNG THỨC BẢO VỆ</w:t>
            </w:r>
          </w:p>
        </w:tc>
        <w:tc>
          <w:tcPr>
            <w:tcW w:type="dxa" w:w="3135"/>
          </w:tcPr>
          <w:p>
            <w:r>
              <w:rPr>
                <w:b/>
              </w:rPr>
              <w:t>THỜI GIAN BẢO VỆ</w:t>
            </w:r>
          </w:p>
        </w:tc>
      </w:tr>
      <w:tr>
        <w:tc>
          <w:tcPr>
            <w:tcW w:type="dxa" w:w="3135"/>
          </w:tcPr>
          <w:p>
            <w:r>
              <w:t>Thông tin khách hàng</w:t>
            </w:r>
          </w:p>
        </w:tc>
        <w:tc>
          <w:tcPr>
            <w:tcW w:type="dxa" w:w="3135"/>
          </w:tcPr>
          <w:p>
            <w:r>
              <w:t>Mật khẩu bảo vệ</w:t>
            </w:r>
          </w:p>
        </w:tc>
        <w:tc>
          <w:tcPr>
            <w:tcW w:type="dxa" w:w="3135"/>
          </w:tcPr>
          <w:p>
            <w:r>
              <w:t>5 năm</w:t>
            </w:r>
          </w:p>
        </w:tc>
      </w:tr>
      <w:tr>
        <w:tc>
          <w:tcPr>
            <w:tcW w:type="dxa" w:w="3135"/>
          </w:tcPr>
          <w:p>
            <w:r>
              <w:t>Mã nguồn phần mềm</w:t>
            </w:r>
          </w:p>
        </w:tc>
        <w:tc>
          <w:tcPr>
            <w:tcW w:type="dxa" w:w="3135"/>
          </w:tcPr>
          <w:p>
            <w:r>
              <w:t>Mã hóa dữ liệu</w:t>
            </w:r>
          </w:p>
        </w:tc>
        <w:tc>
          <w:tcPr>
            <w:tcW w:type="dxa" w:w="3135"/>
          </w:tcPr>
          <w:p>
            <w:r>
              <w:t>5 năm</w:t>
            </w:r>
          </w:p>
        </w:tc>
      </w:tr>
      <w:tr>
        <w:tc>
          <w:tcPr>
            <w:tcW w:type="dxa" w:w="3135"/>
          </w:tcPr>
          <w:p>
            <w:r>
              <w:t>Chiến lược kinh doanh</w:t>
            </w:r>
          </w:p>
        </w:tc>
        <w:tc>
          <w:tcPr>
            <w:tcW w:type="dxa" w:w="3135"/>
          </w:tcPr>
          <w:p>
            <w:r>
              <w:t>Quy định nội bộ</w:t>
            </w:r>
          </w:p>
        </w:tc>
        <w:tc>
          <w:tcPr>
            <w:tcW w:type="dxa" w:w="3135"/>
          </w:tcPr>
          <w:p>
            <w:r>
              <w:t>5 năm</w:t>
            </w:r>
          </w:p>
        </w:tc>
      </w:tr>
      <w:tr>
        <w:tc>
          <w:tcPr>
            <w:tcW w:type="dxa" w:w="3135"/>
          </w:tcPr>
          <w:p>
            <w:r>
              <w:t>Tài liệu kỹ thuật</w:t>
            </w:r>
          </w:p>
        </w:tc>
        <w:tc>
          <w:tcPr>
            <w:tcW w:type="dxa" w:w="3135"/>
          </w:tcPr>
          <w:p>
            <w:r>
              <w:t>Lưu trữ an toàn</w:t>
            </w:r>
          </w:p>
        </w:tc>
        <w:tc>
          <w:tcPr>
            <w:tcW w:type="dxa" w:w="3135"/>
          </w:tcPr>
          <w:p>
            <w:r>
              <w:t>5 năm</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BỘ PHẬN</w:t>
            </w:r>
          </w:p>
        </w:tc>
        <w:tc>
          <w:tcPr>
            <w:tcW w:type="dxa" w:w="3135"/>
          </w:tcPr>
          <w:p>
            <w:r>
              <w:rPr>
                <w:b/>
              </w:rPr>
              <w:t>TRÁCH NHIỆM</w:t>
            </w:r>
          </w:p>
        </w:tc>
        <w:tc>
          <w:tcPr>
            <w:tcW w:type="dxa" w:w="3135"/>
          </w:tcPr>
          <w:p>
            <w:r>
              <w:rPr>
                <w:b/>
              </w:rPr>
              <w:t>GHI CHÚ</w:t>
            </w:r>
          </w:p>
        </w:tc>
      </w:tr>
      <w:tr>
        <w:tc>
          <w:tcPr>
            <w:tcW w:type="dxa" w:w="3135"/>
          </w:tcPr>
          <w:p>
            <w:r>
              <w:t>Phòng Nhân sự</w:t>
            </w:r>
          </w:p>
        </w:tc>
        <w:tc>
          <w:tcPr>
            <w:tcW w:type="dxa" w:w="3135"/>
          </w:tcPr>
          <w:p>
            <w:r>
              <w:t>Đào tạo nhân viên về bảo mật thông tin</w:t>
            </w:r>
          </w:p>
        </w:tc>
        <w:tc>
          <w:tcPr>
            <w:tcW w:type="dxa" w:w="3135"/>
          </w:tcPr>
          <w:p>
            <w:r>
              <w:t>Thực hiện định kỳ</w:t>
            </w:r>
          </w:p>
        </w:tc>
      </w:tr>
      <w:tr>
        <w:tc>
          <w:tcPr>
            <w:tcW w:type="dxa" w:w="3135"/>
          </w:tcPr>
          <w:p>
            <w:r>
              <w:t>Phòng Kỹ thuật</w:t>
            </w:r>
          </w:p>
        </w:tc>
        <w:tc>
          <w:tcPr>
            <w:tcW w:type="dxa" w:w="3135"/>
          </w:tcPr>
          <w:p>
            <w:r>
              <w:t>Bảo vệ thông tin mật trong quá trình phát triển sản phẩm</w:t>
            </w:r>
          </w:p>
        </w:tc>
        <w:tc>
          <w:tcPr>
            <w:tcW w:type="dxa" w:w="3135"/>
          </w:tcPr>
          <w:p>
            <w:r>
              <w:t>Kiểm tra thường xuyên</w:t>
            </w:r>
          </w:p>
        </w:tc>
      </w:tr>
      <w:tr>
        <w:tc>
          <w:tcPr>
            <w:tcW w:type="dxa" w:w="3135"/>
          </w:tcPr>
          <w:p>
            <w:r>
              <w:t>Phòng Pháp lý</w:t>
            </w:r>
          </w:p>
        </w:tc>
        <w:tc>
          <w:tcPr>
            <w:tcW w:type="dxa" w:w="3135"/>
          </w:tcPr>
          <w:p>
            <w:r>
              <w:t>Tư vấn về các quy định pháp luật liên quan đến bảo mật</w:t>
            </w:r>
          </w:p>
        </w:tc>
        <w:tc>
          <w:tcPr>
            <w:tcW w:type="dxa" w:w="3135"/>
          </w:tcPr>
          <w:p>
            <w:r>
              <w:t>Đảm bảo tuân thủ pháp luật</w:t>
            </w:r>
          </w:p>
        </w:tc>
      </w:tr>
      <w:tr>
        <w:tc>
          <w:tcPr>
            <w:tcW w:type="dxa" w:w="3135"/>
          </w:tcPr>
          <w:p>
            <w:r>
              <w:t>Ban Giám đốc</w:t>
            </w:r>
          </w:p>
        </w:tc>
        <w:tc>
          <w:tcPr>
            <w:tcW w:type="dxa" w:w="3135"/>
          </w:tcPr>
          <w:p>
            <w:r>
              <w:t>Giám sát và chỉ đạo thực hiện thỏa thuận NDA</w:t>
            </w:r>
          </w:p>
        </w:tc>
        <w:tc>
          <w:tcPr>
            <w:tcW w:type="dxa" w:w="3135"/>
          </w:tcPr>
          <w:p>
            <w:r>
              <w:t>Đảm bảo quy trình hiệu quả</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Tiết lộ thông tin mật</w:t>
            </w:r>
          </w:p>
        </w:tc>
        <w:tc>
          <w:tcPr>
            <w:tcW w:type="dxa" w:w="2351"/>
          </w:tcPr>
          <w:p>
            <w:r>
              <w:t>1 lần</w:t>
            </w:r>
          </w:p>
        </w:tc>
        <w:tc>
          <w:tcPr>
            <w:tcW w:type="dxa" w:w="2351"/>
          </w:tcPr>
          <w:p>
            <w:r>
              <w:t>Cảnh cáo</w:t>
            </w:r>
          </w:p>
        </w:tc>
        <w:tc>
          <w:tcPr>
            <w:tcW w:type="dxa" w:w="2351"/>
          </w:tcPr>
          <w:p>
            <w:r>
              <w:t>5.000.000</w:t>
            </w:r>
          </w:p>
        </w:tc>
      </w:tr>
      <w:tr>
        <w:tc>
          <w:tcPr>
            <w:tcW w:type="dxa" w:w="2351"/>
          </w:tcPr>
          <w:p>
            <w:r>
              <w:t>Tiết lộ thông tin mật</w:t>
            </w:r>
          </w:p>
        </w:tc>
        <w:tc>
          <w:tcPr>
            <w:tcW w:type="dxa" w:w="2351"/>
          </w:tcPr>
          <w:p>
            <w:r>
              <w:t>2 lần</w:t>
            </w:r>
          </w:p>
        </w:tc>
        <w:tc>
          <w:tcPr>
            <w:tcW w:type="dxa" w:w="2351"/>
          </w:tcPr>
          <w:p>
            <w:r>
              <w:t>Đình chỉ công việc</w:t>
            </w:r>
          </w:p>
        </w:tc>
        <w:tc>
          <w:tcPr>
            <w:tcW w:type="dxa" w:w="2351"/>
          </w:tcPr>
          <w:p>
            <w:r>
              <w:t>10.000.000</w:t>
            </w:r>
          </w:p>
        </w:tc>
      </w:tr>
      <w:tr>
        <w:tc>
          <w:tcPr>
            <w:tcW w:type="dxa" w:w="2351"/>
          </w:tcPr>
          <w:p>
            <w:r>
              <w:t>Sao chép thông tin mật</w:t>
            </w:r>
          </w:p>
        </w:tc>
        <w:tc>
          <w:tcPr>
            <w:tcW w:type="dxa" w:w="2351"/>
          </w:tcPr>
          <w:p>
            <w:r>
              <w:t>1 lần</w:t>
            </w:r>
          </w:p>
        </w:tc>
        <w:tc>
          <w:tcPr>
            <w:tcW w:type="dxa" w:w="2351"/>
          </w:tcPr>
          <w:p>
            <w:r>
              <w:t>Chấm dứt hợp đồng</w:t>
            </w:r>
          </w:p>
        </w:tc>
        <w:tc>
          <w:tcPr>
            <w:tcW w:type="dxa" w:w="2351"/>
          </w:tcPr>
          <w:p>
            <w:r>
              <w:t>20.000.000</w:t>
            </w:r>
          </w:p>
        </w:tc>
      </w:tr>
      <w:tr>
        <w:tc>
          <w:tcPr>
            <w:tcW w:type="dxa" w:w="2351"/>
          </w:tcPr>
          <w:p>
            <w:r>
              <w:t>Sử dụng thông tin mật cho mục đích cá nhân</w:t>
            </w:r>
          </w:p>
        </w:tc>
        <w:tc>
          <w:tcPr>
            <w:tcW w:type="dxa" w:w="2351"/>
          </w:tcPr>
          <w:p>
            <w:r>
              <w:t>1 lần</w:t>
            </w:r>
          </w:p>
        </w:tc>
        <w:tc>
          <w:tcPr>
            <w:tcW w:type="dxa" w:w="2351"/>
          </w:tcPr>
          <w:p>
            <w:r>
              <w:t>Khởi kiện theo quy định pháp luật</w:t>
            </w:r>
          </w:p>
        </w:tc>
        <w:tc>
          <w:tcPr>
            <w:tcW w:type="dxa" w:w="2351"/>
          </w:tcPr>
          <w:p>
            <w:r>
              <w:t>30.000.000</w:t>
            </w:r>
          </w:p>
        </w:tc>
      </w:tr>
    </w:tbl>
    <w:p/>
    <w:p>
      <w:pPr>
        <w:pStyle w:val="Heading1"/>
        <w:spacing w:before="280" w:after="120"/>
      </w:pPr>
      <w:r>
        <w:t>VI. ĐIỀU KHOẢN THI HÀNH</w:t>
      </w:r>
    </w:p>
    <w:p>
      <w:pPr>
        <w:spacing w:after="120"/>
      </w:pPr>
      <w:r>
        <w:t>Thỏa thuận này có hiệu lực từ ngày 01 tháng 07 năm 2026. Tất cả các văn bản trước đây liên quan đến bảo mật thông tin sẽ bị bãi bỏ. Trách nhiệm phổ biến văn bản này thuộc về Phòng Nhân sự và các bộ phận có liên quan. Văn bản sẽ được cập nhật và sửa đổi khi có thay đổi về quy định pháp luật hoặc nhu cầu thực tiễn của công ty.</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