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VSF/40_QT_BAN_GIAO_TAI_S</w:t>
      </w:r>
    </w:p>
    <w:p/>
    <w:p>
      <w:pPr>
        <w:jc w:val="center"/>
      </w:pPr>
      <w:r>
        <w:rPr>
          <w:b/>
          <w:sz w:val="28"/>
        </w:rPr>
        <w:t>QUY TRÌNH BÀN GIAO TÀI SẢN VÀ CÔNG VIỆC KHI NGHỈ VIỆC</w:t>
      </w:r>
    </w:p>
    <w:p/>
    <w:p>
      <w:pPr>
        <w:pStyle w:val="Heading1"/>
        <w:spacing w:before="280" w:after="120"/>
      </w:pPr>
      <w:r>
        <w:t>I. PHẠM VI VÀ ĐỐI TƯỢNG ÁP DỤNG</w:t>
      </w:r>
    </w:p>
    <w:p>
      <w:pPr>
        <w:spacing w:after="120"/>
      </w:pPr>
      <w:r>
        <w:t>Quy trình bàn giao tài sản và công việc khi nghỉ việc tại Công ty TNHH Công nghệ VSF áp dụng cho tất cả các nhân viên đang làm việc tại công ty, bao gồm cả nhân viên chính thức, nhân viên thử việc và các hợp đồng lao động ngắn hạn. Quy trình này được thực hiện trong trường hợp nhân viên có ý định nghỉ việc, bao gồm việc tự nguyện nghỉ việc hoặc bị chấm dứt hợp đồng lao động. Thời gian áp dụng quy trình này là trong suốt thời gian làm việc của nhân viên tại công ty và kéo dài cho đến khi hoàn tất mọi thủ tục bàn giao tài sản và công việc.</w:t>
      </w:r>
    </w:p>
    <w:p>
      <w:pPr>
        <w:spacing w:after="120"/>
      </w:pPr>
      <w:r>
        <w:t>Các đối tượng ngoại lệ bao gồm các nhân viên đang trong thời gian thử việc chưa đủ điều kiện để ký hợp đồng lao động chính thức hoặc những nhân viên bị chấm dứt hợp đồng lao động do lý do vi phạm quy chế công ty mà không cần thông báo trước. Quy trình này nhằm đảm bảo việc bàn giao tài sản và công việc diễn ra một cách minh bạch, có tổ chức và tuân thủ đúng quy định của công ty, đồng thời bảo vệ quyền lợi của cả nhân viên nghỉ việc và công ty.</w:t>
      </w:r>
    </w:p>
    <w:p>
      <w:pPr>
        <w:pStyle w:val="Heading1"/>
        <w:spacing w:before="280" w:after="120"/>
      </w:pPr>
      <w:r>
        <w:t>II. ĐỊNH NGHĨA VÀ GIẢI THÍCH THUẬT NGỮ</w:t>
      </w:r>
    </w:p>
    <w:p>
      <w:pPr>
        <w:pStyle w:val="ListNumber"/>
        <w:spacing w:after="60"/>
      </w:pPr>
      <w:r>
        <w:t>1. Tài sản công ty: Tài sản công ty là tất cả các thiết bị, dụng cụ, tài liệu, phần mềm và các tài sản khác mà công ty cung cấp cho nhân viên để thực hiện công việc. Tài sản này phải được quản lý và bảo trì đúng cách trong suốt thời gian sử dụng.</w:t>
      </w:r>
    </w:p>
    <w:p>
      <w:pPr>
        <w:pStyle w:val="ListNumber"/>
        <w:spacing w:after="60"/>
      </w:pPr>
      <w:r>
        <w:t>2. Bàn giao công việc: Bàn giao công việc là quy trình chuyển giao các nhiệm vụ, trách nhiệm và thông tin cần thiết từ nhân viên nghỉ việc sang nhân viên tiếp nhận. Điều này bao gồm việc cung cấp các tài liệu, hướng dẫn và thông tin liên quan đến công việc.</w:t>
      </w:r>
    </w:p>
    <w:p>
      <w:pPr>
        <w:pStyle w:val="ListNumber"/>
        <w:spacing w:after="60"/>
      </w:pPr>
      <w:r>
        <w:t>3. Biên bản bàn giao: Biên bản bàn giao là tài liệu ghi lại nội dung và kết quả của quá trình bàn giao tài sản và công việc. Biên bản này cần có chữ ký xác nhận của cả hai bên để đảm bảo tính pháp lý và minh bạch.</w:t>
      </w:r>
    </w:p>
    <w:p>
      <w:pPr>
        <w:pStyle w:val="ListNumber"/>
        <w:spacing w:after="60"/>
      </w:pPr>
      <w:r>
        <w:t>4. Thời gian bàn giao: Thời gian bàn giao là khoảng thời gian quy định mà nhân viên nghỉ việc và nhân viên tiếp nhận phải hoàn tất các thủ tục bàn giao tài sản và công việc. Thời gian này cần phải được thống nhất giữa hai bên.</w:t>
      </w:r>
    </w:p>
    <w:p>
      <w:pPr>
        <w:pStyle w:val="ListNumber"/>
        <w:spacing w:after="60"/>
      </w:pPr>
      <w:r>
        <w:t>5. Trợ cấp cuối: Trợ cấp cuối là khoản tiền mà nhân viên nghỉ việc được nhận khi hoàn tất mọi thủ tục bàn giao tài sản và công việc. Khoản tiền này có thể bao gồm tiền lương tháng cuối cùng, trợ cấp thôi việc và các khoản phụ cấp khác nếu có.</w:t>
      </w:r>
    </w:p>
    <w:p>
      <w:pPr>
        <w:pStyle w:val="ListNumber"/>
        <w:spacing w:after="60"/>
      </w:pPr>
      <w:r>
        <w:t>6. Quy chế công ty: Quy chế công ty là các quy định, chính sách và hướng dẫn được ban hành bởi công ty nhằm quản lý và điều hành hoạt động của doanh nghiệp. Quy chế này cần được tuân thủ bởi tất cả các nhân viên trong công ty.</w:t>
      </w:r>
    </w:p>
    <w:p>
      <w:pPr>
        <w:pStyle w:val="Heading1"/>
        <w:spacing w:before="280" w:after="120"/>
      </w:pPr>
      <w:r>
        <w:t>III. NỘI DUNG QUY ĐỊNH / QUY TRÌNH CHI TIẾT</w:t>
      </w:r>
    </w:p>
    <w:p>
      <w:pPr>
        <w:pStyle w:val="Heading2"/>
        <w:spacing w:before="200" w:after="80"/>
      </w:pPr>
      <w:r>
        <w:t>3.1. Quy trình thông báo nghỉ việc</w:t>
      </w:r>
    </w:p>
    <w:p>
      <w:pPr>
        <w:pStyle w:val="ListBullet"/>
        <w:spacing w:after="60"/>
      </w:pPr>
      <w:r>
        <w:t>Nhân viên có trách nhiệm thông báo về việc nghỉ việc bằng văn bản cho quản lý trực tiếp ít nhất 30 ngày trước khi nghỉ việc.</w:t>
      </w:r>
    </w:p>
    <w:p>
      <w:pPr>
        <w:pStyle w:val="ListBullet"/>
        <w:spacing w:after="60"/>
      </w:pPr>
      <w:r>
        <w:t>Quản lý trực tiếp có trách nhiệm ghi nhận thông tin và thông báo cho bộ phận Nhân sự để tiến hành các thủ tục cần thiết.</w:t>
      </w:r>
    </w:p>
    <w:p>
      <w:pPr>
        <w:pStyle w:val="ListBullet"/>
        <w:spacing w:after="60"/>
      </w:pPr>
      <w:r>
        <w:t>Bộ phận Nhân sự sẽ xác nhận thời gian nghỉ việc và hướng dẫn nhân viên về quy trình bàn giao tài sản và công việc.</w:t>
      </w:r>
    </w:p>
    <w:p>
      <w:pPr>
        <w:pStyle w:val="Heading2"/>
        <w:spacing w:before="200" w:after="80"/>
      </w:pPr>
      <w:r>
        <w:t>3.2. Bàn giao tài sản</w:t>
      </w:r>
    </w:p>
    <w:p>
      <w:pPr>
        <w:pStyle w:val="ListBullet"/>
        <w:spacing w:after="60"/>
      </w:pPr>
      <w:r>
        <w:t>Nhân viên nghỉ việc phải lập danh sách các tài sản công ty đang sử dụng, bao gồm laptop, thẻ nhân viên, tài khoản truy cập và các tài liệu khác.</w:t>
      </w:r>
    </w:p>
    <w:p>
      <w:pPr>
        <w:pStyle w:val="ListBullet"/>
        <w:spacing w:after="60"/>
      </w:pPr>
      <w:r>
        <w:t>Bộ phận IT và bộ phận Hành chính sẽ kiểm tra và xác nhận tình trạng của các tài sản trước khi bàn giao.</w:t>
      </w:r>
    </w:p>
    <w:p>
      <w:pPr>
        <w:pStyle w:val="ListBullet"/>
        <w:spacing w:after="60"/>
      </w:pPr>
      <w:r>
        <w:t>Nhân viên nghỉ việc và người tiếp nhận tài sản phải ký biên bản bàn giao tài sản, trong đó ghi rõ tình trạng và số lượng tài sản.</w:t>
      </w:r>
    </w:p>
    <w:p>
      <w:pPr>
        <w:pStyle w:val="Heading2"/>
        <w:spacing w:before="200" w:after="80"/>
      </w:pPr>
      <w:r>
        <w:t>3.3. Bàn giao công việc</w:t>
      </w:r>
    </w:p>
    <w:p>
      <w:pPr>
        <w:pStyle w:val="ListBullet"/>
        <w:spacing w:after="60"/>
      </w:pPr>
      <w:r>
        <w:t>Nhân viên nghỉ việc phải chuẩn bị tài liệu hướng dẫn công việc cho người tiếp nhận, bao gồm các nhiệm vụ, dự án đang thực hiện và thông tin liên quan.</w:t>
      </w:r>
    </w:p>
    <w:p>
      <w:pPr>
        <w:pStyle w:val="ListBullet"/>
        <w:spacing w:after="60"/>
      </w:pPr>
      <w:r>
        <w:t>Thời gian bàn giao công việc tối thiểu là 5 ngày làm việc trước khi nghỉ việc để đảm bảo người tiếp nhận có đủ thời gian làm quen với công việc.</w:t>
      </w:r>
    </w:p>
    <w:p>
      <w:pPr>
        <w:pStyle w:val="ListBullet"/>
        <w:spacing w:after="60"/>
      </w:pPr>
      <w:r>
        <w:t>Biên bản bàn giao công việc cần có chữ ký của cả nhân viên nghỉ việc và người tiếp nhận, ghi rõ nội dung bàn giao và thời gian hoàn tất.</w:t>
      </w:r>
    </w:p>
    <w:p>
      <w:pPr>
        <w:pStyle w:val="Heading2"/>
        <w:spacing w:before="200" w:after="80"/>
      </w:pPr>
      <w:r>
        <w:t>3.4. Thời gian và địa điểm bàn giao</w:t>
      </w:r>
    </w:p>
    <w:p>
      <w:pPr>
        <w:pStyle w:val="ListBullet"/>
        <w:spacing w:after="60"/>
      </w:pPr>
      <w:r>
        <w:t>Thời gian bàn giao tài sản và công việc sẽ được thống nhất giữa nhân viên nghỉ việc và người tiếp nhận, đảm bảo không ảnh hưởng đến công việc chung của công ty.</w:t>
      </w:r>
    </w:p>
    <w:p>
      <w:pPr>
        <w:pStyle w:val="ListBullet"/>
        <w:spacing w:after="60"/>
      </w:pPr>
      <w:r>
        <w:t>Địa điểm bàn giao tài sản sẽ được thực hiện tại văn phòng công ty hoặc địa điểm làm việc cụ thể theo thỏa thuận giữa hai bên.</w:t>
      </w:r>
    </w:p>
    <w:p>
      <w:pPr>
        <w:pStyle w:val="ListBullet"/>
        <w:spacing w:after="60"/>
      </w:pPr>
      <w:r>
        <w:t>Nếu có bất kỳ vấn đề gì phát sinh trong quá trình bàn giao, nhân viên nghỉ việc có quyền thông báo cho bộ phận Nhân sự để được hỗ trợ.</w:t>
      </w:r>
    </w:p>
    <w:p>
      <w:pPr>
        <w:pStyle w:val="Heading2"/>
        <w:spacing w:before="200" w:after="80"/>
      </w:pPr>
      <w:r>
        <w:t>3.5. Điều kiện nhận lương và trợ cấp cuối</w:t>
      </w:r>
    </w:p>
    <w:p>
      <w:pPr>
        <w:pStyle w:val="ListBullet"/>
        <w:spacing w:after="60"/>
      </w:pPr>
      <w:r>
        <w:t>Nhân viên nghỉ việc phải hoàn tất toàn bộ thủ tục bàn giao tài sản và công việc theo quy định để đủ điều kiện nhận lương tháng cuối cùng và các khoản trợ cấp khác.</w:t>
      </w:r>
    </w:p>
    <w:p>
      <w:pPr>
        <w:pStyle w:val="ListBullet"/>
        <w:spacing w:after="60"/>
      </w:pPr>
      <w:r>
        <w:t>Nếu có bất kỳ tài sản nào không được bàn giao đúng quy định, công ty có quyền khấu trừ số tiền tương ứng vào lương tháng cuối cùng của nhân viên nghỉ việc.</w:t>
      </w:r>
    </w:p>
    <w:p>
      <w:pPr>
        <w:pStyle w:val="ListBullet"/>
        <w:spacing w:after="60"/>
      </w:pPr>
      <w:r>
        <w:t>Bộ phận Nhân sự sẽ thực hiện việc thanh toán lương và trợ cấp cuối trong vòng 7 ngày làm việc kể từ ngày hoàn tất bàn giao.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TÀI SẢN CẦN BÀN GIAO</w:t>
            </w:r>
          </w:p>
        </w:tc>
        <w:tc>
          <w:tcPr>
            <w:tcW w:type="dxa" w:w="3135"/>
          </w:tcPr>
          <w:p>
            <w:r>
              <w:rPr>
                <w:b/>
              </w:rPr>
              <w:t>NGƯỜI TIẾP NHẬN</w:t>
            </w:r>
          </w:p>
        </w:tc>
        <w:tc>
          <w:tcPr>
            <w:tcW w:type="dxa" w:w="3135"/>
          </w:tcPr>
          <w:p>
            <w:r>
              <w:rPr>
                <w:b/>
              </w:rPr>
              <w:t>TÌNH TRẠNG</w:t>
            </w:r>
          </w:p>
        </w:tc>
      </w:tr>
      <w:tr>
        <w:tc>
          <w:tcPr>
            <w:tcW w:type="dxa" w:w="3135"/>
          </w:tcPr>
          <w:p>
            <w:r>
              <w:t>Laptop</w:t>
            </w:r>
          </w:p>
        </w:tc>
        <w:tc>
          <w:tcPr>
            <w:tcW w:type="dxa" w:w="3135"/>
          </w:tcPr>
          <w:p>
            <w:r>
              <w:t>Nguyễn Văn A</w:t>
            </w:r>
          </w:p>
        </w:tc>
        <w:tc>
          <w:tcPr>
            <w:tcW w:type="dxa" w:w="3135"/>
          </w:tcPr>
          <w:p>
            <w:r>
              <w:t>Tốt</w:t>
            </w:r>
          </w:p>
        </w:tc>
      </w:tr>
      <w:tr>
        <w:tc>
          <w:tcPr>
            <w:tcW w:type="dxa" w:w="3135"/>
          </w:tcPr>
          <w:p>
            <w:r>
              <w:t>Thẻ nhân viên</w:t>
            </w:r>
          </w:p>
        </w:tc>
        <w:tc>
          <w:tcPr>
            <w:tcW w:type="dxa" w:w="3135"/>
          </w:tcPr>
          <w:p>
            <w:r>
              <w:t>Nguyễn Văn B</w:t>
            </w:r>
          </w:p>
        </w:tc>
        <w:tc>
          <w:tcPr>
            <w:tcW w:type="dxa" w:w="3135"/>
          </w:tcPr>
          <w:p>
            <w:r>
              <w:t>Mất</w:t>
            </w:r>
          </w:p>
        </w:tc>
      </w:tr>
      <w:tr>
        <w:tc>
          <w:tcPr>
            <w:tcW w:type="dxa" w:w="3135"/>
          </w:tcPr>
          <w:p>
            <w:r>
              <w:t>Tài khoản truy cập hệ thống</w:t>
            </w:r>
          </w:p>
        </w:tc>
        <w:tc>
          <w:tcPr>
            <w:tcW w:type="dxa" w:w="3135"/>
          </w:tcPr>
          <w:p>
            <w:r>
              <w:t>Nguyễn Văn C</w:t>
            </w:r>
          </w:p>
        </w:tc>
        <w:tc>
          <w:tcPr>
            <w:tcW w:type="dxa" w:w="3135"/>
          </w:tcPr>
          <w:p>
            <w:r>
              <w:t>Đã chuyển giao</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Nhân viên nghỉ việc</w:t>
            </w:r>
          </w:p>
        </w:tc>
        <w:tc>
          <w:tcPr>
            <w:tcW w:type="dxa" w:w="4702"/>
          </w:tcPr>
          <w:p>
            <w:r>
              <w:t>Thông báo về việc nghỉ việc, lập danh sách tài sản cần bàn giao, chuẩn bị tài liệu hướng dẫn công việc.</w:t>
            </w:r>
          </w:p>
        </w:tc>
      </w:tr>
      <w:tr>
        <w:tc>
          <w:tcPr>
            <w:tcW w:type="dxa" w:w="4702"/>
          </w:tcPr>
          <w:p>
            <w:r>
              <w:t>Quản lý trực tiếp</w:t>
            </w:r>
          </w:p>
        </w:tc>
        <w:tc>
          <w:tcPr>
            <w:tcW w:type="dxa" w:w="4702"/>
          </w:tcPr>
          <w:p>
            <w:r>
              <w:t>Ghi nhận thông tin nghỉ việc, thông báo cho bộ phận Nhân sự, hỗ trợ nhân viên trong quá trình bàn giao.</w:t>
            </w:r>
          </w:p>
        </w:tc>
      </w:tr>
      <w:tr>
        <w:tc>
          <w:tcPr>
            <w:tcW w:type="dxa" w:w="4702"/>
          </w:tcPr>
          <w:p>
            <w:r>
              <w:t>Bộ phận Nhân sự</w:t>
            </w:r>
          </w:p>
        </w:tc>
        <w:tc>
          <w:tcPr>
            <w:tcW w:type="dxa" w:w="4702"/>
          </w:tcPr>
          <w:p>
            <w:r>
              <w:t>Xác nhận thời gian nghỉ việc, hướng dẫn quy trình bàn giao, thực hiện thủ tục thanh toán lương và trợ cấp cuối.</w:t>
            </w:r>
          </w:p>
        </w:tc>
      </w:tr>
      <w:tr>
        <w:tc>
          <w:tcPr>
            <w:tcW w:type="dxa" w:w="4702"/>
          </w:tcPr>
          <w:p>
            <w:r>
              <w:t>Bộ phận IT</w:t>
            </w:r>
          </w:p>
        </w:tc>
        <w:tc>
          <w:tcPr>
            <w:tcW w:type="dxa" w:w="4702"/>
          </w:tcPr>
          <w:p>
            <w:r>
              <w:t>Kiểm tra tình trạng tài sản công ty, hỗ trợ trong quá trình chuyển giao tài sản, đảm bảo an toàn thông tin.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TIỀN PHẠT (VNĐ)</w:t>
            </w:r>
          </w:p>
        </w:tc>
      </w:tr>
      <w:tr>
        <w:tc>
          <w:tcPr>
            <w:tcW w:type="dxa" w:w="2351"/>
          </w:tcPr>
          <w:p>
            <w:r>
              <w:t>Không thông báo nghỉ việc đúng hạn</w:t>
            </w:r>
          </w:p>
        </w:tc>
        <w:tc>
          <w:tcPr>
            <w:tcW w:type="dxa" w:w="2351"/>
          </w:tcPr>
          <w:p>
            <w:r>
              <w:t>1 lần</w:t>
            </w:r>
          </w:p>
        </w:tc>
        <w:tc>
          <w:tcPr>
            <w:tcW w:type="dxa" w:w="2351"/>
          </w:tcPr>
          <w:p>
            <w:r>
              <w:t>Cảnh cáo</w:t>
            </w:r>
          </w:p>
        </w:tc>
        <w:tc>
          <w:tcPr>
            <w:tcW w:type="dxa" w:w="2351"/>
          </w:tcPr>
          <w:p>
            <w:r>
              <w:t>500.000</w:t>
            </w:r>
          </w:p>
        </w:tc>
      </w:tr>
      <w:tr>
        <w:tc>
          <w:tcPr>
            <w:tcW w:type="dxa" w:w="2351"/>
          </w:tcPr>
          <w:p>
            <w:r>
              <w:t>Không bàn giao tài sản đúng quy định</w:t>
            </w:r>
          </w:p>
        </w:tc>
        <w:tc>
          <w:tcPr>
            <w:tcW w:type="dxa" w:w="2351"/>
          </w:tcPr>
          <w:p>
            <w:r>
              <w:t>1 lần</w:t>
            </w:r>
          </w:p>
        </w:tc>
        <w:tc>
          <w:tcPr>
            <w:tcW w:type="dxa" w:w="2351"/>
          </w:tcPr>
          <w:p>
            <w:r>
              <w:t>Khấu trừ lương tháng cuối</w:t>
            </w:r>
          </w:p>
        </w:tc>
        <w:tc>
          <w:tcPr>
            <w:tcW w:type="dxa" w:w="2351"/>
          </w:tcPr>
          <w:p>
            <w:r>
              <w:t>1.000.000</w:t>
            </w:r>
          </w:p>
        </w:tc>
      </w:tr>
      <w:tr>
        <w:tc>
          <w:tcPr>
            <w:tcW w:type="dxa" w:w="2351"/>
          </w:tcPr>
          <w:p>
            <w:r>
              <w:t>Không bàn giao công việc đúng quy định</w:t>
            </w:r>
          </w:p>
        </w:tc>
        <w:tc>
          <w:tcPr>
            <w:tcW w:type="dxa" w:w="2351"/>
          </w:tcPr>
          <w:p>
            <w:r>
              <w:t>1 lần</w:t>
            </w:r>
          </w:p>
        </w:tc>
        <w:tc>
          <w:tcPr>
            <w:tcW w:type="dxa" w:w="2351"/>
          </w:tcPr>
          <w:p>
            <w:r>
              <w:t>Cảnh cáo và yêu cầu sửa chữa</w:t>
            </w:r>
          </w:p>
        </w:tc>
        <w:tc>
          <w:tcPr>
            <w:tcW w:type="dxa" w:w="2351"/>
          </w:tcPr>
          <w:p>
            <w:r>
              <w:t>500.000</w:t>
            </w:r>
          </w:p>
        </w:tc>
      </w:tr>
      <w:tr>
        <w:tc>
          <w:tcPr>
            <w:tcW w:type="dxa" w:w="2351"/>
          </w:tcPr>
          <w:p>
            <w:r>
              <w:t>Vi phạm quy chế công ty trong quá trình bàn giao</w:t>
            </w:r>
          </w:p>
        </w:tc>
        <w:tc>
          <w:tcPr>
            <w:tcW w:type="dxa" w:w="2351"/>
          </w:tcPr>
          <w:p>
            <w:r>
              <w:t>1 lần</w:t>
            </w:r>
          </w:p>
        </w:tc>
        <w:tc>
          <w:tcPr>
            <w:tcW w:type="dxa" w:w="2351"/>
          </w:tcPr>
          <w:p>
            <w:r>
              <w:t>Chấm dứt hợp đồng lao động</w:t>
            </w:r>
          </w:p>
        </w:tc>
        <w:tc>
          <w:tcPr>
            <w:tcW w:type="dxa" w:w="2351"/>
          </w:tcPr>
          <w:p>
            <w:r>
              <w:t>5.000.000</w:t>
            </w:r>
          </w:p>
        </w:tc>
      </w:tr>
    </w:tbl>
    <w:p/>
    <w:p>
      <w:pPr>
        <w:pStyle w:val="Heading1"/>
        <w:spacing w:before="280" w:after="120"/>
      </w:pPr>
      <w:r>
        <w:t>VI. ĐIỀU KHOẢN THI HÀNH</w:t>
      </w:r>
    </w:p>
    <w:p>
      <w:pPr>
        <w:spacing w:after="120"/>
      </w:pPr>
      <w:r>
        <w:t>Quy trình bàn giao tài sản và công việc khi nghỉ việc có hiệu lực từ ngày 01 tháng 07 năm 2026. Quy trình này sẽ bãi bỏ mọi quy định trước đó liên quan đến việc bàn giao tài sản và công việc khi nghỉ việc. Tất cả các bộ phận và nhân viên trong công ty có trách nhiệm phổ biến và thực hiện quy trình này. Quy định này sẽ được xem xét và cập nhật định kỳ để đảm bảo tính hiệu quả và phù hợp với thực tế hoạt động của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