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VSF/41_QT_DON_PHUONG_CHA</w:t>
      </w:r>
    </w:p>
    <w:p/>
    <w:p>
      <w:pPr>
        <w:jc w:val="center"/>
      </w:pPr>
      <w:r>
        <w:rPr>
          <w:b/>
          <w:sz w:val="28"/>
        </w:rPr>
        <w:t>QUY TRÌNH ĐƠN PHƯƠNG CHẤM DỨT HỢP ĐỒNG LAO ĐỘNG</w:t>
      </w:r>
    </w:p>
    <w:p/>
    <w:p>
      <w:pPr>
        <w:pStyle w:val="Heading1"/>
        <w:spacing w:before="280" w:after="120"/>
      </w:pPr>
      <w:r>
        <w:t>I. PHẠM VI VÀ ĐỐI TƯỢNG ÁP DỤNG</w:t>
      </w:r>
    </w:p>
    <w:p>
      <w:pPr>
        <w:spacing w:after="120"/>
      </w:pPr>
      <w:r>
        <w:t>Quy trình đơn phương chấm dứt hợp đồng lao động (HĐLĐ) tại Công ty TNHH Công nghệ VSF được áp dụng cho toàn bộ nhân viên làm việc tại công ty, bao gồm cả nhân viên chính thức, nhân viên thử việc, và hợp đồng thời vụ. Quy trình này bao gồm các quy định cụ thể liên quan đến việc chấm dứt HĐLĐ từ phía người sử dụng lao động và người lao động. Thời gian áp dụng của quy trình này là từ ngày 01/07/2026 cho đến khi có thông báo bãi bỏ hoặc sửa đổi.</w:t>
      </w:r>
    </w:p>
    <w:p>
      <w:pPr>
        <w:spacing w:after="120"/>
      </w:pPr>
      <w:r>
        <w:t>Đối tượng áp dụng bao gồm tất cả các phòng ban trong công ty và các cá nhân liên quan đến quyết định chấm dứt HĐLĐ. Các trường hợp ngoại lệ không áp dụng quy trình này bao gồm việc chấm dứt HĐLĐ theo quy định của pháp luật về hưu trí, mất khả năng lao động, hoặc các trường hợp chấm dứt hợp đồng theo thỏa thuận giữa hai bên mà không cần tuân theo quy trình nêu tại tài liệu này.</w:t>
      </w:r>
    </w:p>
    <w:p>
      <w:pPr>
        <w:pStyle w:val="Heading1"/>
        <w:spacing w:before="280" w:after="120"/>
      </w:pPr>
      <w:r>
        <w:t>II. ĐỊNH NGHĨA VÀ GIẢI THÍCH THUẬT NGỮ</w:t>
      </w:r>
    </w:p>
    <w:p>
      <w:pPr>
        <w:pStyle w:val="ListNumber"/>
        <w:spacing w:after="60"/>
      </w:pPr>
      <w:r>
        <w:t>1. Hợp đồng lao động (HĐLĐ): Là văn bản thỏa thuận giữa người sử dụng lao động và người lao động, quy định quyền và nghĩa vụ của mỗi bên trong quan hệ lao động.</w:t>
      </w:r>
    </w:p>
    <w:p>
      <w:pPr>
        <w:pStyle w:val="ListNumber"/>
        <w:spacing w:after="60"/>
      </w:pPr>
      <w:r>
        <w:t>2. Đơn phương chấm dứt hợp đồng lao động: Là hành vi của một bên (người sử dụng lao động hoặc người lao động) chấm dứt hiệu lực của HĐLĐ mà không cần sự đồng ý của bên còn lại.</w:t>
      </w:r>
    </w:p>
    <w:p>
      <w:pPr>
        <w:pStyle w:val="ListNumber"/>
        <w:spacing w:after="60"/>
      </w:pPr>
      <w:r>
        <w:t>3. Thời gian báo trước: Là khoảng thời gian mà bên chấm dứt HĐLĐ phải thông báo cho bên còn lại trước khi chấm dứt hợp đồng, nhằm tạo điều kiện cho bên bị chấm dứt chuẩn bị.</w:t>
      </w:r>
    </w:p>
    <w:p>
      <w:pPr>
        <w:pStyle w:val="ListNumber"/>
        <w:spacing w:after="60"/>
      </w:pPr>
      <w:r>
        <w:t>4. Trợ cấp thôi việc: Là khoản tiền mà người sử dụng lao động phải trả cho nhân viên khi chấm dứt HĐLĐ, tùy thuộc vào thời gian làm việc tại công ty và các quy định hiện hành của pháp luật.</w:t>
      </w:r>
    </w:p>
    <w:p>
      <w:pPr>
        <w:pStyle w:val="ListNumber"/>
        <w:spacing w:after="60"/>
      </w:pPr>
      <w:r>
        <w:t>5. Hồ sơ chấm dứt hợp đồng: Là tập hợp các giấy tờ, tài liệu cần thiết để thực hiện việc chấm dứt HĐLĐ, bao gồm đơn xin nghỉ việc, biên bản bàn giao công việc, và các tài liệu liên quan khác.</w:t>
      </w:r>
    </w:p>
    <w:p>
      <w:pPr>
        <w:pStyle w:val="ListNumber"/>
        <w:spacing w:after="60"/>
      </w:pPr>
      <w:r>
        <w:t>6. Xác nhận kinh nghiệm làm việc: Là giấy tờ chứng nhận thời gian và công việc mà nhân viên đã thực hiện tại công ty, nhằm hỗ trợ cho nhân viên trong quá trình tìm kiếm việc làm mới.</w:t>
      </w:r>
    </w:p>
    <w:p>
      <w:pPr>
        <w:pStyle w:val="Heading1"/>
        <w:spacing w:before="280" w:after="120"/>
      </w:pPr>
      <w:r>
        <w:t>III. NỘI DUNG QUY ĐỊNH / QUY TRÌNH CHI TIẾT</w:t>
      </w:r>
    </w:p>
    <w:p>
      <w:pPr>
        <w:pStyle w:val="Heading2"/>
        <w:spacing w:before="200" w:after="80"/>
      </w:pPr>
      <w:r>
        <w:t>3.1. Điều kiện chấm dứt HĐLĐ từ phía người sử dụng lao động</w:t>
      </w:r>
    </w:p>
    <w:p>
      <w:pPr>
        <w:pStyle w:val="ListBullet"/>
        <w:spacing w:after="60"/>
      </w:pPr>
      <w:r>
        <w:t>Người sử dụng lao động có quyền đơn phương chấm dứt HĐLĐ nếu nhân viên vi phạm nội quy công ty, quy định về an toàn lao động.</w:t>
      </w:r>
    </w:p>
    <w:p>
      <w:pPr>
        <w:pStyle w:val="ListBullet"/>
        <w:spacing w:after="60"/>
      </w:pPr>
      <w:r>
        <w:t>Người sử dụng lao động có quyền chấm dứt hợp đồng nếu nhân viên không thực hiện đúng các nhiệm vụ được giao trong thời gian dài, gây ảnh hưởng đến hoạt động của công ty.</w:t>
      </w:r>
    </w:p>
    <w:p>
      <w:pPr>
        <w:pStyle w:val="ListBullet"/>
        <w:spacing w:after="60"/>
      </w:pPr>
      <w:r>
        <w:t>Trường hợp chấm dứt HĐLĐ do tình hình sản xuất, kinh doanh của công ty gặp khó khăn, phải thu hẹp sản xuất hoặc ngừng hoạt động.</w:t>
      </w:r>
    </w:p>
    <w:p>
      <w:pPr>
        <w:pStyle w:val="Heading2"/>
        <w:spacing w:before="200" w:after="80"/>
      </w:pPr>
      <w:r>
        <w:t>3.2. Điều kiện chấm dứt HĐLĐ từ phía nhân viên</w:t>
      </w:r>
    </w:p>
    <w:p>
      <w:pPr>
        <w:pStyle w:val="ListBullet"/>
        <w:spacing w:after="60"/>
      </w:pPr>
      <w:r>
        <w:t>Nhân viên có quyền đơn phương chấm dứt HĐLĐ nếu bị ngược đãi, phân biệt đối xử, không đảm bảo điều kiện làm việc.</w:t>
      </w:r>
    </w:p>
    <w:p>
      <w:pPr>
        <w:pStyle w:val="ListBullet"/>
        <w:spacing w:after="60"/>
      </w:pPr>
      <w:r>
        <w:t>Nhân viên có quyền chấm dứt HĐLĐ khi không nhận được đầy đủ quyền lợi theo hợp đồng hoặc pháp luật quy định.</w:t>
      </w:r>
    </w:p>
    <w:p>
      <w:pPr>
        <w:pStyle w:val="ListBullet"/>
        <w:spacing w:after="60"/>
      </w:pPr>
      <w:r>
        <w:t>Nhân viên cần có lý do chính đáng như sức khỏe kém, chuyển nơi cư trú, hoặc lý do gia đình.</w:t>
      </w:r>
    </w:p>
    <w:p>
      <w:pPr>
        <w:pStyle w:val="Heading2"/>
        <w:spacing w:before="200" w:after="80"/>
      </w:pPr>
      <w:r>
        <w:t>3.3. Thời gian báo trước khi chấm dứt HĐLĐ</w:t>
      </w:r>
    </w:p>
    <w:p>
      <w:pPr>
        <w:pStyle w:val="ListBullet"/>
        <w:spacing w:after="60"/>
      </w:pPr>
      <w:r>
        <w:t>Đối với HĐLĐ xác định thời hạn, thời gian báo trước tối thiểu là 30 ngày.</w:t>
      </w:r>
    </w:p>
    <w:p>
      <w:pPr>
        <w:pStyle w:val="ListBullet"/>
        <w:spacing w:after="60"/>
      </w:pPr>
      <w:r>
        <w:t>Đối với HĐLĐ không xác định thời hạn, thời gian báo trước tối thiểu là 45 ngày.</w:t>
      </w:r>
    </w:p>
    <w:p>
      <w:pPr>
        <w:pStyle w:val="ListBullet"/>
        <w:spacing w:after="60"/>
      </w:pPr>
      <w:r>
        <w:t>Đối với HĐLĐ thử việc, thời gian báo trước tối thiểu là 3 ngày.</w:t>
      </w:r>
    </w:p>
    <w:p>
      <w:pPr>
        <w:pStyle w:val="Heading2"/>
        <w:spacing w:before="200" w:after="80"/>
      </w:pPr>
      <w:r>
        <w:t>3.4. Thủ tục nộp đơn chấm dứt HĐLĐ</w:t>
      </w:r>
    </w:p>
    <w:p>
      <w:pPr>
        <w:pStyle w:val="ListBullet"/>
        <w:spacing w:after="60"/>
      </w:pPr>
      <w:r>
        <w:t>Nhân viên phải nộp đơn xin nghỉ việc đến bộ phận nhân sự ít nhất 30 ngày trước khi chấm dứt HĐLĐ.</w:t>
      </w:r>
    </w:p>
    <w:p>
      <w:pPr>
        <w:pStyle w:val="ListBullet"/>
        <w:spacing w:after="60"/>
      </w:pPr>
      <w:r>
        <w:t>Bộ phận nhân sự có trách nhiệm xem xét và trình Giám đốc phê duyệt đơn xin nghỉ việc.</w:t>
      </w:r>
    </w:p>
    <w:p>
      <w:pPr>
        <w:pStyle w:val="ListBullet"/>
        <w:spacing w:after="60"/>
      </w:pPr>
      <w:r>
        <w:t>Sau khi nhận được phê duyệt, nhân viên phải hoàn tất các thủ tục bàn giao công việc và nộp lại tài sản của công ty.</w:t>
      </w:r>
    </w:p>
    <w:p>
      <w:pPr>
        <w:pStyle w:val="Heading2"/>
        <w:spacing w:before="200" w:after="80"/>
      </w:pPr>
      <w:r>
        <w:t>3.5. Trợ cấp thôi việc và hồ sơ hoàn tất</w:t>
      </w:r>
    </w:p>
    <w:p>
      <w:pPr>
        <w:pStyle w:val="ListBullet"/>
        <w:spacing w:after="60"/>
      </w:pPr>
      <w:r>
        <w:t>Nhân viên đủ điều kiện sẽ nhận trợ cấp thôi việc theo quy định của pháp luật và công ty.</w:t>
      </w:r>
    </w:p>
    <w:p>
      <w:pPr>
        <w:pStyle w:val="ListBullet"/>
        <w:spacing w:after="60"/>
      </w:pPr>
      <w:r>
        <w:t>Hồ sơ cần hoàn tất bao gồm đơn xin nghỉ việc, biên bản bàn giao công việc, và giấy xác nhận kinh nghiệm làm việc.</w:t>
      </w:r>
    </w:p>
    <w:p>
      <w:pPr>
        <w:pStyle w:val="ListBullet"/>
        <w:spacing w:after="60"/>
      </w:pPr>
      <w:r>
        <w:t>Bộ phận nhân sự sẽ cấp giấy xác nhận kinh nghiệm làm việc cho nhân viên trong vòng 5 ngày làm việc sau khi hoàn tất thủ tục chấm dứt HĐLĐ.</w:t>
      </w:r>
    </w:p>
    <w:tbl>
      <w:tblPr>
        <w:tblStyle w:val="TableGrid"/>
        <w:tblW w:type="auto" w:w="0"/>
        <w:tblLook w:firstColumn="1" w:firstRow="1" w:lastColumn="0" w:lastRow="0" w:noHBand="0" w:noVBand="1" w:val="04A0"/>
      </w:tblPr>
      <w:tblGrid>
        <w:gridCol w:w="3135"/>
        <w:gridCol w:w="3135"/>
        <w:gridCol w:w="3135"/>
      </w:tblGrid>
      <w:tr>
        <w:tc>
          <w:tcPr>
            <w:tcW w:type="dxa" w:w="3135"/>
          </w:tcPr>
          <w:p>
            <w:r>
              <w:rPr>
                <w:b/>
              </w:rPr>
              <w:t>HẠNG MỤC</w:t>
            </w:r>
          </w:p>
        </w:tc>
        <w:tc>
          <w:tcPr>
            <w:tcW w:type="dxa" w:w="3135"/>
          </w:tcPr>
          <w:p>
            <w:r>
              <w:rPr>
                <w:b/>
              </w:rPr>
              <w:t>NỘI DUNG</w:t>
            </w:r>
          </w:p>
        </w:tc>
        <w:tc>
          <w:tcPr>
            <w:tcW w:type="dxa" w:w="3135"/>
          </w:tcPr>
          <w:p>
            <w:r>
              <w:rPr>
                <w:b/>
              </w:rPr>
              <w:t>THỜI GIAN</w:t>
            </w:r>
          </w:p>
        </w:tc>
      </w:tr>
      <w:tr>
        <w:tc>
          <w:tcPr>
            <w:tcW w:type="dxa" w:w="3135"/>
          </w:tcPr>
          <w:p>
            <w:r>
              <w:t>1</w:t>
            </w:r>
          </w:p>
        </w:tc>
        <w:tc>
          <w:tcPr>
            <w:tcW w:type="dxa" w:w="3135"/>
          </w:tcPr>
          <w:p>
            <w:r>
              <w:t>Điều kiện chấm dứt HĐLĐ từ phía người sử dụng lao động</w:t>
            </w:r>
          </w:p>
        </w:tc>
        <w:tc>
          <w:tcPr>
            <w:tcW w:type="dxa" w:w="3135"/>
          </w:tcPr>
          <w:p>
            <w:r>
              <w:t>Theo quy định tại mục 3.1</w:t>
            </w:r>
          </w:p>
        </w:tc>
      </w:tr>
      <w:tr>
        <w:tc>
          <w:tcPr>
            <w:tcW w:type="dxa" w:w="3135"/>
          </w:tcPr>
          <w:p>
            <w:r>
              <w:t>2</w:t>
            </w:r>
          </w:p>
        </w:tc>
        <w:tc>
          <w:tcPr>
            <w:tcW w:type="dxa" w:w="3135"/>
          </w:tcPr>
          <w:p>
            <w:r>
              <w:t>Điều kiện chấm dứt HĐLĐ từ phía nhân viên</w:t>
            </w:r>
          </w:p>
        </w:tc>
        <w:tc>
          <w:tcPr>
            <w:tcW w:type="dxa" w:w="3135"/>
          </w:tcPr>
          <w:p>
            <w:r>
              <w:t>Theo quy định tại mục 3.2</w:t>
            </w:r>
          </w:p>
        </w:tc>
      </w:tr>
      <w:tr>
        <w:tc>
          <w:tcPr>
            <w:tcW w:type="dxa" w:w="3135"/>
          </w:tcPr>
          <w:p>
            <w:r>
              <w:t>3</w:t>
            </w:r>
          </w:p>
        </w:tc>
        <w:tc>
          <w:tcPr>
            <w:tcW w:type="dxa" w:w="3135"/>
          </w:tcPr>
          <w:p>
            <w:r>
              <w:t>Thời gian báo trước</w:t>
            </w:r>
          </w:p>
        </w:tc>
        <w:tc>
          <w:tcPr>
            <w:tcW w:type="dxa" w:w="3135"/>
          </w:tcPr>
          <w:p>
            <w:r>
              <w:t>Theo quy định tại mục 3.3</w:t>
            </w:r>
          </w:p>
        </w:tc>
      </w:tr>
      <w:tr>
        <w:tc>
          <w:tcPr>
            <w:tcW w:type="dxa" w:w="3135"/>
          </w:tcPr>
          <w:p>
            <w:r>
              <w:t>4</w:t>
            </w:r>
          </w:p>
        </w:tc>
        <w:tc>
          <w:tcPr>
            <w:tcW w:type="dxa" w:w="3135"/>
          </w:tcPr>
          <w:p>
            <w:r>
              <w:t>Thủ tục nộp đơn</w:t>
            </w:r>
          </w:p>
        </w:tc>
        <w:tc>
          <w:tcPr>
            <w:tcW w:type="dxa" w:w="3135"/>
          </w:tcPr>
          <w:p>
            <w:r>
              <w:t>Theo quy định tại mục 3.4</w:t>
            </w:r>
          </w:p>
        </w:tc>
      </w:tr>
      <w:tr>
        <w:tc>
          <w:tcPr>
            <w:tcW w:type="dxa" w:w="3135"/>
          </w:tcPr>
          <w:p>
            <w:r>
              <w:t>5</w:t>
            </w:r>
          </w:p>
        </w:tc>
        <w:tc>
          <w:tcPr>
            <w:tcW w:type="dxa" w:w="3135"/>
          </w:tcPr>
          <w:p>
            <w:r>
              <w:t>Trợ cấp thôi việc</w:t>
            </w:r>
          </w:p>
        </w:tc>
        <w:tc>
          <w:tcPr>
            <w:tcW w:type="dxa" w:w="3135"/>
          </w:tcPr>
          <w:p>
            <w:r>
              <w:t>Theo quy định tại mục 3.5</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BỘ PHẬN</w:t>
            </w:r>
          </w:p>
        </w:tc>
        <w:tc>
          <w:tcPr>
            <w:tcW w:type="dxa" w:w="1881"/>
          </w:tcPr>
          <w:p>
            <w:r>
              <w:rPr>
                <w:b/>
              </w:rPr>
              <w:t>TRÁCH NHIỆM</w:t>
            </w:r>
          </w:p>
        </w:tc>
        <w:tc>
          <w:tcPr>
            <w:tcW w:type="dxa" w:w="1881"/>
          </w:tcPr>
          <w:p>
            <w:r>
              <w:rPr>
                <w:b/>
              </w:rPr>
              <w:t>NỘI DUNG</w:t>
            </w:r>
          </w:p>
        </w:tc>
        <w:tc>
          <w:tcPr>
            <w:tcW w:type="dxa" w:w="1881"/>
          </w:tcPr>
          <w:p>
            <w:r>
              <w:rPr>
                <w:b/>
              </w:rPr>
            </w:r>
          </w:p>
        </w:tc>
        <w:tc>
          <w:tcPr>
            <w:tcW w:type="dxa" w:w="1881"/>
          </w:tcPr>
          <w:p>
            <w:r>
              <w:rPr>
                <w:b/>
              </w:rPr>
            </w:r>
          </w:p>
        </w:tc>
      </w:tr>
      <w:tr>
        <w:tc>
          <w:tcPr>
            <w:tcW w:type="dxa" w:w="1881"/>
          </w:tcPr>
          <w:p>
            <w:r>
              <w:t>1</w:t>
            </w:r>
          </w:p>
        </w:tc>
        <w:tc>
          <w:tcPr>
            <w:tcW w:type="dxa" w:w="1881"/>
          </w:tcPr>
          <w:p>
            <w:r>
              <w:t>Bộ phận Nhân sự</w:t>
            </w:r>
          </w:p>
        </w:tc>
        <w:tc>
          <w:tcPr>
            <w:tcW w:type="dxa" w:w="1881"/>
          </w:tcPr>
          <w:p>
            <w:r>
              <w:t>a. Tiếp nhận đơn xin nghỉ việc.</w:t>
            </w:r>
          </w:p>
        </w:tc>
        <w:tc>
          <w:tcPr>
            <w:tcW w:type="dxa" w:w="1881"/>
          </w:tcPr>
          <w:p>
            <w:r>
              <w:t>b. Xem xét và trình Giám đốc phê duyệt.</w:t>
            </w:r>
          </w:p>
        </w:tc>
        <w:tc>
          <w:tcPr>
            <w:tcW w:type="dxa" w:w="1881"/>
          </w:tcPr>
          <w:p>
            <w:r>
              <w:t>c. Cấp giấy xác nhận kinh nghiệm làm việc.</w:t>
            </w:r>
          </w:p>
        </w:tc>
      </w:tr>
      <w:tr>
        <w:tc>
          <w:tcPr>
            <w:tcW w:type="dxa" w:w="1881"/>
          </w:tcPr>
          <w:p>
            <w:r>
              <w:t>2</w:t>
            </w:r>
          </w:p>
        </w:tc>
        <w:tc>
          <w:tcPr>
            <w:tcW w:type="dxa" w:w="1881"/>
          </w:tcPr>
          <w:p>
            <w:r>
              <w:t>Giám đốc</w:t>
            </w:r>
          </w:p>
        </w:tc>
        <w:tc>
          <w:tcPr>
            <w:tcW w:type="dxa" w:w="1881"/>
          </w:tcPr>
          <w:p>
            <w:r>
              <w:t>a. Quyết định phê duyệt đơn xin nghỉ việc.</w:t>
            </w:r>
          </w:p>
        </w:tc>
        <w:tc>
          <w:tcPr>
            <w:tcW w:type="dxa" w:w="1881"/>
          </w:tcPr>
          <w:p>
            <w:r>
              <w:t>b. Kiểm tra tình trạng công việc của nhân viên.</w:t>
            </w:r>
          </w:p>
        </w:tc>
        <w:tc>
          <w:tcPr>
            <w:tcW w:type="dxa" w:w="1881"/>
          </w:tcPr>
          <w:p>
            <w:r>
              <w:t>c. Đảm bảo quyền lợi cho nhân viên theo quy định của pháp luật.</w:t>
            </w:r>
          </w:p>
        </w:tc>
      </w:tr>
      <w:tr>
        <w:tc>
          <w:tcPr>
            <w:tcW w:type="dxa" w:w="1881"/>
          </w:tcPr>
          <w:p>
            <w:r>
              <w:t>3</w:t>
            </w:r>
          </w:p>
        </w:tc>
        <w:tc>
          <w:tcPr>
            <w:tcW w:type="dxa" w:w="1881"/>
          </w:tcPr>
          <w:p>
            <w:r>
              <w:t>Nhân viên</w:t>
            </w:r>
          </w:p>
        </w:tc>
        <w:tc>
          <w:tcPr>
            <w:tcW w:type="dxa" w:w="1881"/>
          </w:tcPr>
          <w:p>
            <w:r>
              <w:t>a. Nộp đơn xin nghỉ việc đúng thời gian quy định.</w:t>
            </w:r>
          </w:p>
        </w:tc>
        <w:tc>
          <w:tcPr>
            <w:tcW w:type="dxa" w:w="1881"/>
          </w:tcPr>
          <w:p>
            <w:r>
              <w:t>b. Thực hiện các thủ tục bàn giao công việc.</w:t>
            </w:r>
          </w:p>
        </w:tc>
        <w:tc>
          <w:tcPr>
            <w:tcW w:type="dxa" w:w="1881"/>
          </w:tcPr>
          <w:p>
            <w:r>
              <w:t>c. Hoàn tất hồ sơ trước khi rời khỏi công ty.</w:t>
            </w:r>
          </w:p>
        </w:tc>
      </w:tr>
      <w:tr>
        <w:tc>
          <w:tcPr>
            <w:tcW w:type="dxa" w:w="1881"/>
          </w:tcPr>
          <w:p>
            <w:r>
              <w:t>4</w:t>
            </w:r>
          </w:p>
        </w:tc>
        <w:tc>
          <w:tcPr>
            <w:tcW w:type="dxa" w:w="1881"/>
          </w:tcPr>
          <w:p>
            <w:r>
              <w:t>Bộ phận Tài chính</w:t>
            </w:r>
          </w:p>
        </w:tc>
        <w:tc>
          <w:tcPr>
            <w:tcW w:type="dxa" w:w="1881"/>
          </w:tcPr>
          <w:p>
            <w:r>
              <w:t>a. Tính toán trợ cấp thôi việc cho nhân viên.</w:t>
            </w:r>
          </w:p>
        </w:tc>
        <w:tc>
          <w:tcPr>
            <w:tcW w:type="dxa" w:w="1881"/>
          </w:tcPr>
          <w:p>
            <w:r>
              <w:t>b. Thực hiện thanh toán trợ cấp thôi việc.</w:t>
            </w:r>
          </w:p>
        </w:tc>
        <w:tc>
          <w:tcPr>
            <w:tcW w:type="dxa" w:w="1881"/>
          </w:tcPr>
          <w:p>
            <w:r>
              <w:t>c. Cung cấp thông tin về các quyền lợi khác của nhân viên.</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HÀNH VI VI PHẠM</w:t>
            </w:r>
          </w:p>
        </w:tc>
        <w:tc>
          <w:tcPr>
            <w:tcW w:type="dxa" w:w="1881"/>
          </w:tcPr>
          <w:p>
            <w:r>
              <w:rPr>
                <w:b/>
              </w:rPr>
              <w:t>SỐ LẦN VI PHẠM</w:t>
            </w:r>
          </w:p>
        </w:tc>
        <w:tc>
          <w:tcPr>
            <w:tcW w:type="dxa" w:w="1881"/>
          </w:tcPr>
          <w:p>
            <w:r>
              <w:rPr>
                <w:b/>
              </w:rPr>
              <w:t>HÌNH THỨC XỬ LÝ</w:t>
            </w:r>
          </w:p>
        </w:tc>
        <w:tc>
          <w:tcPr>
            <w:tcW w:type="dxa" w:w="1881"/>
          </w:tcPr>
          <w:p>
            <w:r>
              <w:rPr>
                <w:b/>
              </w:rPr>
              <w:t>MỨC PHẠT (VNĐ)</w:t>
            </w:r>
          </w:p>
        </w:tc>
        <w:tc>
          <w:tcPr>
            <w:tcW w:type="dxa" w:w="1881"/>
          </w:tcPr>
          <w:p>
            <w:r>
              <w:rPr>
                <w:b/>
              </w:rPr>
            </w:r>
          </w:p>
        </w:tc>
      </w:tr>
      <w:tr>
        <w:tc>
          <w:tcPr>
            <w:tcW w:type="dxa" w:w="1881"/>
          </w:tcPr>
          <w:p>
            <w:r>
              <w:t>1</w:t>
            </w:r>
          </w:p>
        </w:tc>
        <w:tc>
          <w:tcPr>
            <w:tcW w:type="dxa" w:w="1881"/>
          </w:tcPr>
          <w:p>
            <w:r>
              <w:t>Không nộp đơn xin nghỉ việc đúng hạn</w:t>
            </w:r>
          </w:p>
        </w:tc>
        <w:tc>
          <w:tcPr>
            <w:tcW w:type="dxa" w:w="1881"/>
          </w:tcPr>
          <w:p>
            <w:r>
              <w:t>1 lần</w:t>
            </w:r>
          </w:p>
        </w:tc>
        <w:tc>
          <w:tcPr>
            <w:tcW w:type="dxa" w:w="1881"/>
          </w:tcPr>
          <w:p>
            <w:r>
              <w:t>Khiển trách</w:t>
            </w:r>
          </w:p>
        </w:tc>
        <w:tc>
          <w:tcPr>
            <w:tcW w:type="dxa" w:w="1881"/>
          </w:tcPr>
          <w:p>
            <w:r>
              <w:t>500.000</w:t>
            </w:r>
          </w:p>
        </w:tc>
      </w:tr>
      <w:tr>
        <w:tc>
          <w:tcPr>
            <w:tcW w:type="dxa" w:w="1881"/>
          </w:tcPr>
          <w:p>
            <w:r>
              <w:t>2</w:t>
            </w:r>
          </w:p>
        </w:tc>
        <w:tc>
          <w:tcPr>
            <w:tcW w:type="dxa" w:w="1881"/>
          </w:tcPr>
          <w:p>
            <w:r>
              <w:t>Chấm dứt HĐLĐ không đúng lý do</w:t>
            </w:r>
          </w:p>
        </w:tc>
        <w:tc>
          <w:tcPr>
            <w:tcW w:type="dxa" w:w="1881"/>
          </w:tcPr>
          <w:p>
            <w:r>
              <w:t>1 lần</w:t>
            </w:r>
          </w:p>
        </w:tc>
        <w:tc>
          <w:tcPr>
            <w:tcW w:type="dxa" w:w="1881"/>
          </w:tcPr>
          <w:p>
            <w:r>
              <w:t>Cảnh cáo</w:t>
            </w:r>
          </w:p>
        </w:tc>
        <w:tc>
          <w:tcPr>
            <w:tcW w:type="dxa" w:w="1881"/>
          </w:tcPr>
          <w:p>
            <w:r>
              <w:t>1.000.000</w:t>
            </w:r>
          </w:p>
        </w:tc>
      </w:tr>
      <w:tr>
        <w:tc>
          <w:tcPr>
            <w:tcW w:type="dxa" w:w="1881"/>
          </w:tcPr>
          <w:p>
            <w:r>
              <w:t>3</w:t>
            </w:r>
          </w:p>
        </w:tc>
        <w:tc>
          <w:tcPr>
            <w:tcW w:type="dxa" w:w="1881"/>
          </w:tcPr>
          <w:p>
            <w:r>
              <w:t>Không bàn giao công việc đầy đủ</w:t>
            </w:r>
          </w:p>
        </w:tc>
        <w:tc>
          <w:tcPr>
            <w:tcW w:type="dxa" w:w="1881"/>
          </w:tcPr>
          <w:p>
            <w:r>
              <w:t>1 lần</w:t>
            </w:r>
          </w:p>
        </w:tc>
        <w:tc>
          <w:tcPr>
            <w:tcW w:type="dxa" w:w="1881"/>
          </w:tcPr>
          <w:p>
            <w:r>
              <w:t>Phạt tiền</w:t>
            </w:r>
          </w:p>
        </w:tc>
        <w:tc>
          <w:tcPr>
            <w:tcW w:type="dxa" w:w="1881"/>
          </w:tcPr>
          <w:p>
            <w:r>
              <w:t>1.500.000</w:t>
            </w:r>
          </w:p>
        </w:tc>
      </w:tr>
      <w:tr>
        <w:tc>
          <w:tcPr>
            <w:tcW w:type="dxa" w:w="1881"/>
          </w:tcPr>
          <w:p>
            <w:r>
              <w:t>4</w:t>
            </w:r>
          </w:p>
        </w:tc>
        <w:tc>
          <w:tcPr>
            <w:tcW w:type="dxa" w:w="1881"/>
          </w:tcPr>
          <w:p>
            <w:r>
              <w:t>Vi phạm quy định về trợ cấp thôi việc</w:t>
            </w:r>
          </w:p>
        </w:tc>
        <w:tc>
          <w:tcPr>
            <w:tcW w:type="dxa" w:w="1881"/>
          </w:tcPr>
          <w:p>
            <w:r>
              <w:t>1 lần</w:t>
            </w:r>
          </w:p>
        </w:tc>
        <w:tc>
          <w:tcPr>
            <w:tcW w:type="dxa" w:w="1881"/>
          </w:tcPr>
          <w:p>
            <w:r>
              <w:t>Đình chỉ công việc</w:t>
            </w:r>
          </w:p>
        </w:tc>
        <w:tc>
          <w:tcPr>
            <w:tcW w:type="dxa" w:w="1881"/>
          </w:tcPr>
          <w:p>
            <w:r>
              <w:t>2.000.000</w:t>
            </w:r>
          </w:p>
        </w:tc>
      </w:tr>
    </w:tbl>
    <w:p/>
    <w:p>
      <w:pPr>
        <w:pStyle w:val="Heading1"/>
        <w:spacing w:before="280" w:after="120"/>
      </w:pPr>
      <w:r>
        <w:t>VI. ĐIỀU KHOẢN THI HÀNH</w:t>
      </w:r>
    </w:p>
    <w:p>
      <w:pPr>
        <w:spacing w:after="120"/>
      </w:pPr>
      <w:r>
        <w:t>Quy trình này có hiệu lực từ ngày 01/07/2026. Các quy định trước đây liên quan đến quy trình đơn phương chấm dứt HĐLĐ sẽ bị bãi bỏ. Trách nhiệm phổ biến văn bản này thuộc về bộ phận Nhân sự. Các bộ phận khác có trách nhiệm thực hiện theo đúng quy định. Quy trình này sẽ được xem xét và cập nhật định kỳ hàng năm hoặc khi có thay đổi về pháp luật liên quan.</w:t>
      </w:r>
    </w:p>
    <w:p>
      <w:pPr>
        <w:spacing w:after="120"/>
      </w:pPr>
      <w:r>
        <w:t>TP. Ho Chi Minh, ngay 01 tháng 07 năm 2026</w:t>
      </w:r>
    </w:p>
    <w:p>
      <w:pPr>
        <w:pStyle w:val="Heading1"/>
        <w:spacing w:before="280" w:after="120"/>
      </w:pPr>
      <w:r>
        <w:t>GIÁM ĐỐC ĐIỀU HÀNH</w:t>
      </w:r>
    </w:p>
    <w:p>
      <w:pPr>
        <w:spacing w:after="120"/>
      </w:pPr>
      <w:r>
        <w:t>Nguyen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