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VSF/43_QD_DAO_TAO_NOI_BO</w:t>
      </w:r>
    </w:p>
    <w:p/>
    <w:p>
      <w:pPr>
        <w:jc w:val="center"/>
      </w:pPr>
      <w:r>
        <w:rPr>
          <w:b/>
          <w:sz w:val="28"/>
        </w:rPr>
        <w:t>QUY CHẾ ĐÀO TẠO NỘI BỘ, CỬ ĐI ĐÀO TẠO VÀ CAM KẾT HOÀN THÀNH</w:t>
      </w:r>
    </w:p>
    <w:p/>
    <w:p>
      <w:pPr>
        <w:pStyle w:val="Heading1"/>
        <w:spacing w:before="280" w:after="120"/>
      </w:pPr>
      <w:r>
        <w:t>I. PHẠM VI VÀ ĐỐI TƯỢNG ÁP DỤNG</w:t>
      </w:r>
    </w:p>
    <w:p>
      <w:pPr>
        <w:spacing w:after="120"/>
      </w:pPr>
      <w:r>
        <w:t>Quy chế này áp dụng cho tất cả nhân viên của Công ty TNHH Công nghệ VSF, bao gồm các phòng ban, bộ phận, và cá nhân có liên quan đến quy trình đào tạo nội bộ và cử đi đào tạo. Thời gian áp dụng quy chế này bắt đầu từ ngày 01 tháng 07 năm 2026 cho đến khi có quy định mới. Phạm vi áp dụng bao gồm tất cả các khóa học, chương trình đào tạo nội bộ, và các khóa học bên ngoài được công ty tài trợ. Đối tượng ngoại lệ bao gồm các nhân viên thử việc hoặc các nhân viên đang trong thời gian kỷ luật. Quy chế cũng không áp dụng cho các khóa học, chương trình đào tạo không được công ty phê duyệt hoặc không nằm trong ngân sách đào tạo hàng năm.</w:t>
      </w:r>
    </w:p>
    <w:p>
      <w:pPr>
        <w:pStyle w:val="Heading1"/>
        <w:spacing w:before="280" w:after="120"/>
      </w:pPr>
      <w:r>
        <w:t>II. ĐỊNH NGHĨA VÀ GIẢI THÍCH THUẬT NGỮ</w:t>
      </w:r>
    </w:p>
    <w:p>
      <w:pPr>
        <w:pStyle w:val="ListNumber"/>
        <w:spacing w:after="60"/>
      </w:pPr>
      <w:r>
        <w:t>1. Đào tạo nội bộ: Là các chương trình đào tạo được tổ chức bởi Công ty TNHH Công nghệ VSF nhằm nâng cao kỹ năng chuyên môn và kiến thức cho nhân viên, thường diễn ra tại văn phòng công ty hoặc các địa điểm do công ty chỉ định.</w:t>
      </w:r>
    </w:p>
    <w:p>
      <w:pPr>
        <w:pStyle w:val="ListNumber"/>
        <w:spacing w:after="60"/>
      </w:pPr>
      <w:r>
        <w:t>2. Cử đi đào tạo: Là hành động Công ty TNHH Công nghệ VSF cử nhân viên tham gia các khóa học bên ngoài nhằm nâng cao trình độ chuyên môn, kỹ năng làm việc, thường do các tổ chức, trường học, hoặc trung tâm đào tạo độc lập tổ chức.</w:t>
      </w:r>
    </w:p>
    <w:p>
      <w:pPr>
        <w:pStyle w:val="ListNumber"/>
        <w:spacing w:after="60"/>
      </w:pPr>
      <w:r>
        <w:t>3. Ngân sách đào tạo: Là khoản tiền được Công ty TNHH Công nghệ VSF dự trù hàng năm để phục vụ cho các hoạt động đào tạo nội bộ và cử đi đào tạo cho nhân viên.</w:t>
      </w:r>
    </w:p>
    <w:p>
      <w:pPr>
        <w:pStyle w:val="ListNumber"/>
        <w:spacing w:after="60"/>
      </w:pPr>
      <w:r>
        <w:t>4. Service bond (cam kết phục vụ): Là văn bản cam kết giữa nhân viên và Công ty TNHH Công nghệ VSF, trong đó nhân viên cam kết sẽ làm việc cho công ty một khoảng thời gian nhất định sau khi được công ty tài trợ đào tạo.</w:t>
      </w:r>
    </w:p>
    <w:p>
      <w:pPr>
        <w:pStyle w:val="ListNumber"/>
        <w:spacing w:after="60"/>
      </w:pPr>
      <w:r>
        <w:t>5. Báo cáo sau đào tạo: Là tài liệu mà nhân viên phải trình bày cho công ty sau khi hoàn thành khóa đào tạo, trong đó nêu rõ nội dung đã được học, ứng dụng vào công việc và những ý kiến phản hồi về khóa học.</w:t>
      </w:r>
    </w:p>
    <w:p>
      <w:pPr>
        <w:pStyle w:val="ListNumber"/>
        <w:spacing w:after="60"/>
      </w:pPr>
      <w:r>
        <w:t>6. Vi phạm cam kết: Là hành động của nhân viên không thực hiện đúng các cam kết đã ký kết trong service bond, bao gồm việc không hoàn thành thời gian làm việc theo yêu cầu hoặc không thực hiện báo cáo sau đào tạo.</w:t>
      </w:r>
    </w:p>
    <w:p>
      <w:pPr>
        <w:pStyle w:val="Heading1"/>
        <w:spacing w:before="280" w:after="120"/>
      </w:pPr>
      <w:r>
        <w:t>III. NỘI DUNG QUY ĐỊNH / QUY TRÌNH CHI TIẾT</w:t>
      </w:r>
    </w:p>
    <w:p>
      <w:pPr>
        <w:pStyle w:val="Heading2"/>
        <w:spacing w:before="200" w:after="80"/>
      </w:pPr>
      <w:r>
        <w:t>3.1. Quy trình đề xuất khóa học</w:t>
      </w:r>
    </w:p>
    <w:p>
      <w:pPr>
        <w:pStyle w:val="ListBullet"/>
        <w:spacing w:after="60"/>
      </w:pPr>
      <w:r>
        <w:t>Nhân viên có nhu cầu tham gia khóa học phải điền đầy đủ thông tin vào mẫu đề xuất khóa học được phát hành bởi phòng Nhân sự.</w:t>
      </w:r>
    </w:p>
    <w:p>
      <w:pPr>
        <w:pStyle w:val="ListBullet"/>
        <w:spacing w:after="60"/>
      </w:pPr>
      <w:r>
        <w:t>Mẫu đề xuất cần nêu rõ lý do tham gia, nội dung khóa học, và lợi ích dự kiến cho công việc.</w:t>
      </w:r>
    </w:p>
    <w:p>
      <w:pPr>
        <w:pStyle w:val="ListBullet"/>
        <w:spacing w:after="60"/>
      </w:pPr>
      <w:r>
        <w:t>Mẫu đề xuất sẽ được gửi tới trưởng phòng để xem xét và phê duyệt.</w:t>
      </w:r>
    </w:p>
    <w:p>
      <w:pPr>
        <w:pStyle w:val="Heading2"/>
        <w:spacing w:before="200" w:after="80"/>
      </w:pPr>
      <w:r>
        <w:t>3.2. Phê duyệt khóa học</w:t>
      </w:r>
    </w:p>
    <w:p>
      <w:pPr>
        <w:pStyle w:val="ListBullet"/>
        <w:spacing w:after="60"/>
      </w:pPr>
      <w:r>
        <w:t>Trưởng phòng sẽ xem xét mẫu đề xuất và gửi lại cho phòng Nhân sự để tổng hợp.</w:t>
      </w:r>
    </w:p>
    <w:p>
      <w:pPr>
        <w:pStyle w:val="ListBullet"/>
        <w:spacing w:after="60"/>
      </w:pPr>
      <w:r>
        <w:t>Phòng Nhân sự sẽ tổng hợp các đề xuất và trình lên ban giám đốc phê duyệt trong cuộc họp hàng tháng.</w:t>
      </w:r>
    </w:p>
    <w:p>
      <w:pPr>
        <w:pStyle w:val="ListBullet"/>
        <w:spacing w:after="60"/>
      </w:pPr>
      <w:r>
        <w:t>Các khóa học được phê duyệt sẽ được thông báo cho nhân viên qua email và thông báo nội bộ.</w:t>
      </w:r>
    </w:p>
    <w:p>
      <w:pPr>
        <w:pStyle w:val="Heading2"/>
        <w:spacing w:before="200" w:after="80"/>
      </w:pPr>
      <w:r>
        <w:t>3.3. Thanh toán chi phí đào tạo</w:t>
      </w:r>
    </w:p>
    <w:p>
      <w:pPr>
        <w:pStyle w:val="ListBullet"/>
        <w:spacing w:after="60"/>
      </w:pPr>
      <w:r>
        <w:t>Sau khi khóa học kết thúc, nhân viên cần nộp hóa đơn và báo cáo sau đào tạo cho phòng Nhân sự.</w:t>
      </w:r>
    </w:p>
    <w:p>
      <w:pPr>
        <w:pStyle w:val="ListBullet"/>
        <w:spacing w:after="60"/>
      </w:pPr>
      <w:r>
        <w:t>Phòng Nhân sự sẽ kiểm tra tính hợp lệ của hóa đơn và báo cáo trước khi thực hiện thanh toán.</w:t>
      </w:r>
    </w:p>
    <w:p>
      <w:pPr>
        <w:pStyle w:val="ListBullet"/>
        <w:spacing w:after="60"/>
      </w:pPr>
      <w:r>
        <w:t>Thời gian thanh toán sẽ được thực hiện trong vòng 15 ngày làm việc kể từ khi nhận được hồ sơ hợp lệ.</w:t>
      </w:r>
    </w:p>
    <w:p>
      <w:pPr>
        <w:pStyle w:val="Heading2"/>
        <w:spacing w:before="200" w:after="80"/>
      </w:pPr>
      <w:r>
        <w:t>3.4. Yêu cầu báo cáo sau đào tạo</w:t>
      </w:r>
    </w:p>
    <w:p>
      <w:pPr>
        <w:pStyle w:val="ListBullet"/>
        <w:spacing w:after="60"/>
      </w:pPr>
      <w:r>
        <w:t>Nhân viên bắt buộc phải nộp báo cáo sau đào tạo trong vòng 7 ngày làm việc kể từ ngày kết thúc khóa học.</w:t>
      </w:r>
    </w:p>
    <w:p>
      <w:pPr>
        <w:pStyle w:val="ListBullet"/>
        <w:spacing w:after="60"/>
      </w:pPr>
      <w:r>
        <w:t>Báo cáo cần trình bày rõ nội dung khóa học, kiến thức đã học, và cách ứng dụng vào công việc.</w:t>
      </w:r>
    </w:p>
    <w:p>
      <w:pPr>
        <w:pStyle w:val="ListBullet"/>
        <w:spacing w:after="60"/>
      </w:pPr>
      <w:r>
        <w:t>Báo cáo sẽ được lưu trữ trong hồ sơ cá nhân của nhân viên tại phòng Nhân sự.</w:t>
      </w:r>
    </w:p>
    <w:p>
      <w:pPr>
        <w:pStyle w:val="Heading2"/>
        <w:spacing w:before="200" w:after="80"/>
      </w:pPr>
      <w:r>
        <w:t>3.5. Cam kết ở lại công ty sau khi được tài trợ đào tạo</w:t>
      </w:r>
    </w:p>
    <w:p>
      <w:pPr>
        <w:pStyle w:val="ListBullet"/>
        <w:spacing w:after="60"/>
      </w:pPr>
      <w:r>
        <w:t>Nhân viên sẽ phải ký kết service bond trước khi được cử đi đào tạo, cam kết thời gian phục vụ cho công ty sau khi hoàn thành khóa học.</w:t>
      </w:r>
    </w:p>
    <w:p>
      <w:pPr>
        <w:pStyle w:val="ListBullet"/>
        <w:spacing w:after="60"/>
      </w:pPr>
      <w:r>
        <w:t>Thời gian cam kết phục vụ sẽ được xác định dựa trên số tiền công ty đã tài trợ cho khóa học.</w:t>
      </w:r>
    </w:p>
    <w:p>
      <w:pPr>
        <w:pStyle w:val="ListBullet"/>
        <w:spacing w:after="60"/>
      </w:pPr>
      <w:r>
        <w:t>Nếu nhân viên vi phạm cam kết, sẽ bị xử lý theo quy định tại mục V.</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STT</w:t>
            </w:r>
          </w:p>
        </w:tc>
        <w:tc>
          <w:tcPr>
            <w:tcW w:type="dxa" w:w="2351"/>
          </w:tcPr>
          <w:p>
            <w:r>
              <w:rPr>
                <w:b/>
              </w:rPr>
              <w:t>Tên Khóa Học</w:t>
            </w:r>
          </w:p>
        </w:tc>
        <w:tc>
          <w:tcPr>
            <w:tcW w:type="dxa" w:w="2351"/>
          </w:tcPr>
          <w:p>
            <w:r>
              <w:rPr>
                <w:b/>
              </w:rPr>
              <w:t>Thời Gian</w:t>
            </w:r>
          </w:p>
        </w:tc>
        <w:tc>
          <w:tcPr>
            <w:tcW w:type="dxa" w:w="2351"/>
          </w:tcPr>
          <w:p>
            <w:r>
              <w:rPr>
                <w:b/>
              </w:rPr>
              <w:t>Ngân Sách Dự Kiến</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1</w:t>
            </w:r>
          </w:p>
        </w:tc>
        <w:tc>
          <w:tcPr>
            <w:tcW w:type="dxa" w:w="2351"/>
          </w:tcPr>
          <w:p>
            <w:r>
              <w:t>Khóa học A</w:t>
            </w:r>
          </w:p>
        </w:tc>
        <w:tc>
          <w:tcPr>
            <w:tcW w:type="dxa" w:w="2351"/>
          </w:tcPr>
          <w:p>
            <w:r>
              <w:t>3 tháng</w:t>
            </w:r>
          </w:p>
        </w:tc>
        <w:tc>
          <w:tcPr>
            <w:tcW w:type="dxa" w:w="2351"/>
          </w:tcPr>
          <w:p>
            <w:r>
              <w:t>30.000.000 VNĐ</w:t>
            </w:r>
          </w:p>
        </w:tc>
      </w:tr>
      <w:tr>
        <w:tc>
          <w:tcPr>
            <w:tcW w:type="dxa" w:w="2351"/>
          </w:tcPr>
          <w:p>
            <w:r>
              <w:t>2</w:t>
            </w:r>
          </w:p>
        </w:tc>
        <w:tc>
          <w:tcPr>
            <w:tcW w:type="dxa" w:w="2351"/>
          </w:tcPr>
          <w:p>
            <w:r>
              <w:t>Khóa học B</w:t>
            </w:r>
          </w:p>
        </w:tc>
        <w:tc>
          <w:tcPr>
            <w:tcW w:type="dxa" w:w="2351"/>
          </w:tcPr>
          <w:p>
            <w:r>
              <w:t>2 tháng</w:t>
            </w:r>
          </w:p>
        </w:tc>
        <w:tc>
          <w:tcPr>
            <w:tcW w:type="dxa" w:w="2351"/>
          </w:tcPr>
          <w:p>
            <w:r>
              <w:t>20.000.000 VNĐ</w:t>
            </w:r>
          </w:p>
        </w:tc>
      </w:tr>
      <w:tr>
        <w:tc>
          <w:tcPr>
            <w:tcW w:type="dxa" w:w="2351"/>
          </w:tcPr>
          <w:p>
            <w:r>
              <w:t>3</w:t>
            </w:r>
          </w:p>
        </w:tc>
        <w:tc>
          <w:tcPr>
            <w:tcW w:type="dxa" w:w="2351"/>
          </w:tcPr>
          <w:p>
            <w:r>
              <w:t>Khóa học C</w:t>
            </w:r>
          </w:p>
        </w:tc>
        <w:tc>
          <w:tcPr>
            <w:tcW w:type="dxa" w:w="2351"/>
          </w:tcPr>
          <w:p>
            <w:r>
              <w:t>1 tháng</w:t>
            </w:r>
          </w:p>
        </w:tc>
        <w:tc>
          <w:tcPr>
            <w:tcW w:type="dxa" w:w="2351"/>
          </w:tcPr>
          <w:p>
            <w:r>
              <w:t>10.000.000 VNĐ</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 Cá Nhân</w:t>
            </w:r>
          </w:p>
        </w:tc>
        <w:tc>
          <w:tcPr>
            <w:tcW w:type="dxa" w:w="4702"/>
          </w:tcPr>
          <w:p>
            <w:r>
              <w:rPr>
                <w:b/>
              </w:rPr>
              <w:t>Trách Nhiệm Cụ Thể</w:t>
            </w:r>
          </w:p>
        </w:tc>
      </w:tr>
      <w:tr>
        <w:tc>
          <w:tcPr>
            <w:tcW w:type="dxa" w:w="4702"/>
          </w:tcPr>
          <w:p>
            <w:r>
              <w:t>-------------------------</w:t>
            </w:r>
          </w:p>
        </w:tc>
        <w:tc>
          <w:tcPr>
            <w:tcW w:type="dxa" w:w="4702"/>
          </w:tcPr>
          <w:p>
            <w:r>
              <w:t>------------------------------------------------------------</w:t>
            </w:r>
          </w:p>
        </w:tc>
      </w:tr>
      <w:tr>
        <w:tc>
          <w:tcPr>
            <w:tcW w:type="dxa" w:w="4702"/>
          </w:tcPr>
          <w:p>
            <w:r>
              <w:t>Phòng Nhân sự</w:t>
            </w:r>
          </w:p>
        </w:tc>
        <w:tc>
          <w:tcPr>
            <w:tcW w:type="dxa" w:w="4702"/>
          </w:tcPr>
          <w:p>
            <w:r>
              <w:t>1. Tổng hợp các đề xuất khóa học từ nhân viên.</w:t>
            </w:r>
          </w:p>
        </w:tc>
      </w:tr>
      <w:tr>
        <w:tc>
          <w:tcPr>
            <w:tcW w:type="dxa" w:w="4702"/>
          </w:tcPr>
          <w:p>
            <w:r/>
          </w:p>
        </w:tc>
        <w:tc>
          <w:tcPr>
            <w:tcW w:type="dxa" w:w="4702"/>
          </w:tcPr>
          <w:p>
            <w:r>
              <w:t>2. Theo dõi ngân sách đào tạo hàng năm.</w:t>
            </w:r>
          </w:p>
        </w:tc>
      </w:tr>
      <w:tr>
        <w:tc>
          <w:tcPr>
            <w:tcW w:type="dxa" w:w="4702"/>
          </w:tcPr>
          <w:p>
            <w:r/>
          </w:p>
        </w:tc>
        <w:tc>
          <w:tcPr>
            <w:tcW w:type="dxa" w:w="4702"/>
          </w:tcPr>
          <w:p>
            <w:r>
              <w:t>3. Lưu trữ hồ sơ báo cáo sau đào tạo của nhân viên.</w:t>
            </w:r>
          </w:p>
        </w:tc>
      </w:tr>
      <w:tr>
        <w:tc>
          <w:tcPr>
            <w:tcW w:type="dxa" w:w="4702"/>
          </w:tcPr>
          <w:p>
            <w:r>
              <w:t>Trưởng phòng</w:t>
            </w:r>
          </w:p>
        </w:tc>
        <w:tc>
          <w:tcPr>
            <w:tcW w:type="dxa" w:w="4702"/>
          </w:tcPr>
          <w:p>
            <w:r>
              <w:t>1. Xem xét và phê duyệt các đề xuất khóa học.</w:t>
            </w:r>
          </w:p>
        </w:tc>
      </w:tr>
      <w:tr>
        <w:tc>
          <w:tcPr>
            <w:tcW w:type="dxa" w:w="4702"/>
          </w:tcPr>
          <w:p>
            <w:r/>
          </w:p>
        </w:tc>
        <w:tc>
          <w:tcPr>
            <w:tcW w:type="dxa" w:w="4702"/>
          </w:tcPr>
          <w:p>
            <w:r>
              <w:t>2. Đảm bảo nhân viên tham gia đào tạo phù hợp với công việc.</w:t>
            </w:r>
          </w:p>
        </w:tc>
      </w:tr>
      <w:tr>
        <w:tc>
          <w:tcPr>
            <w:tcW w:type="dxa" w:w="4702"/>
          </w:tcPr>
          <w:p>
            <w:r/>
          </w:p>
        </w:tc>
        <w:tc>
          <w:tcPr>
            <w:tcW w:type="dxa" w:w="4702"/>
          </w:tcPr>
          <w:p>
            <w:r>
              <w:t>3. Hỗ trợ nhân viên trong việc ứng dụng kiến thức đã học.</w:t>
            </w:r>
          </w:p>
        </w:tc>
      </w:tr>
      <w:tr>
        <w:tc>
          <w:tcPr>
            <w:tcW w:type="dxa" w:w="4702"/>
          </w:tcPr>
          <w:p>
            <w:r>
              <w:t>Nhân viên</w:t>
            </w:r>
          </w:p>
        </w:tc>
        <w:tc>
          <w:tcPr>
            <w:tcW w:type="dxa" w:w="4702"/>
          </w:tcPr>
          <w:p>
            <w:r>
              <w:t>1. Đề xuất và tham gia các khóa học phù hợp.</w:t>
            </w:r>
          </w:p>
        </w:tc>
      </w:tr>
      <w:tr>
        <w:tc>
          <w:tcPr>
            <w:tcW w:type="dxa" w:w="4702"/>
          </w:tcPr>
          <w:p>
            <w:r/>
          </w:p>
        </w:tc>
        <w:tc>
          <w:tcPr>
            <w:tcW w:type="dxa" w:w="4702"/>
          </w:tcPr>
          <w:p>
            <w:r>
              <w:t>2. Nộp báo cáo sau đào tạo đúng hạn.</w:t>
            </w:r>
          </w:p>
        </w:tc>
      </w:tr>
      <w:tr>
        <w:tc>
          <w:tcPr>
            <w:tcW w:type="dxa" w:w="4702"/>
          </w:tcPr>
          <w:p>
            <w:r/>
          </w:p>
        </w:tc>
        <w:tc>
          <w:tcPr>
            <w:tcW w:type="dxa" w:w="4702"/>
          </w:tcPr>
          <w:p>
            <w:r>
              <w:t>3. Thực hiện cam kết phục vụ sau khi được tài trợ đào tạo.</w:t>
            </w:r>
          </w:p>
        </w:tc>
      </w:tr>
      <w:tr>
        <w:tc>
          <w:tcPr>
            <w:tcW w:type="dxa" w:w="4702"/>
          </w:tcPr>
          <w:p>
            <w:r>
              <w:t>Ban Giám đốc</w:t>
            </w:r>
          </w:p>
        </w:tc>
        <w:tc>
          <w:tcPr>
            <w:tcW w:type="dxa" w:w="4702"/>
          </w:tcPr>
          <w:p>
            <w:r>
              <w:t>1. Phê duyệt ngân sách đào tạo hàng năm.</w:t>
            </w:r>
          </w:p>
        </w:tc>
      </w:tr>
      <w:tr>
        <w:tc>
          <w:tcPr>
            <w:tcW w:type="dxa" w:w="4702"/>
          </w:tcPr>
          <w:p>
            <w:r/>
          </w:p>
        </w:tc>
        <w:tc>
          <w:tcPr>
            <w:tcW w:type="dxa" w:w="4702"/>
          </w:tcPr>
          <w:p>
            <w:r>
              <w:t>2. Xem xét và phê duyệt các khóa học quan trọng.</w:t>
            </w:r>
          </w:p>
        </w:tc>
      </w:tr>
      <w:tr>
        <w:tc>
          <w:tcPr>
            <w:tcW w:type="dxa" w:w="4702"/>
          </w:tcPr>
          <w:p>
            <w:r/>
          </w:p>
        </w:tc>
        <w:tc>
          <w:tcPr>
            <w:tcW w:type="dxa" w:w="4702"/>
          </w:tcPr>
          <w:p>
            <w:r>
              <w:t>3. Đánh giá hiệu quả của các chương trình đào tạo.</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Tiền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nộp báo cáo sau đào tạo</w:t>
            </w:r>
          </w:p>
        </w:tc>
        <w:tc>
          <w:tcPr>
            <w:tcW w:type="dxa" w:w="2351"/>
          </w:tcPr>
          <w:p>
            <w:r>
              <w:t>1 lần</w:t>
            </w:r>
          </w:p>
        </w:tc>
        <w:tc>
          <w:tcPr>
            <w:tcW w:type="dxa" w:w="2351"/>
          </w:tcPr>
          <w:p>
            <w:r>
              <w:t>Nhắc nhở bằng văn bản</w:t>
            </w:r>
          </w:p>
        </w:tc>
        <w:tc>
          <w:tcPr>
            <w:tcW w:type="dxa" w:w="2351"/>
          </w:tcPr>
          <w:p>
            <w:r>
              <w:t>1.000.000</w:t>
            </w:r>
          </w:p>
        </w:tc>
      </w:tr>
      <w:tr>
        <w:tc>
          <w:tcPr>
            <w:tcW w:type="dxa" w:w="2351"/>
          </w:tcPr>
          <w:p>
            <w:r>
              <w:t>Không thực hiện cam kết phục vụ</w:t>
            </w:r>
          </w:p>
        </w:tc>
        <w:tc>
          <w:tcPr>
            <w:tcW w:type="dxa" w:w="2351"/>
          </w:tcPr>
          <w:p>
            <w:r>
              <w:t>1 lần</w:t>
            </w:r>
          </w:p>
        </w:tc>
        <w:tc>
          <w:tcPr>
            <w:tcW w:type="dxa" w:w="2351"/>
          </w:tcPr>
          <w:p>
            <w:r>
              <w:t>Giảm trừ lương tháng tiếp theo</w:t>
            </w:r>
          </w:p>
        </w:tc>
        <w:tc>
          <w:tcPr>
            <w:tcW w:type="dxa" w:w="2351"/>
          </w:tcPr>
          <w:p>
            <w:r>
              <w:t>5.000.000</w:t>
            </w:r>
          </w:p>
        </w:tc>
      </w:tr>
      <w:tr>
        <w:tc>
          <w:tcPr>
            <w:tcW w:type="dxa" w:w="2351"/>
          </w:tcPr>
          <w:p>
            <w:r>
              <w:t>Nộp hóa đơn không hợp lệ</w:t>
            </w:r>
          </w:p>
        </w:tc>
        <w:tc>
          <w:tcPr>
            <w:tcW w:type="dxa" w:w="2351"/>
          </w:tcPr>
          <w:p>
            <w:r>
              <w:t>1 lần</w:t>
            </w:r>
          </w:p>
        </w:tc>
        <w:tc>
          <w:tcPr>
            <w:tcW w:type="dxa" w:w="2351"/>
          </w:tcPr>
          <w:p>
            <w:r>
              <w:t>Không được thanh toán chi phí đào tạo</w:t>
            </w:r>
          </w:p>
        </w:tc>
        <w:tc>
          <w:tcPr>
            <w:tcW w:type="dxa" w:w="2351"/>
          </w:tcPr>
          <w:p>
            <w:r>
              <w:t>0</w:t>
            </w:r>
          </w:p>
        </w:tc>
      </w:tr>
      <w:tr>
        <w:tc>
          <w:tcPr>
            <w:tcW w:type="dxa" w:w="2351"/>
          </w:tcPr>
          <w:p>
            <w:r>
              <w:t>Vi phạm nhiều lần</w:t>
            </w:r>
          </w:p>
        </w:tc>
        <w:tc>
          <w:tcPr>
            <w:tcW w:type="dxa" w:w="2351"/>
          </w:tcPr>
          <w:p>
            <w:r>
              <w:t>2 lần</w:t>
            </w:r>
          </w:p>
        </w:tc>
        <w:tc>
          <w:tcPr>
            <w:tcW w:type="dxa" w:w="2351"/>
          </w:tcPr>
          <w:p>
            <w:r>
              <w:t>Hủy bỏ quyền lợi đào tạo trong năm</w:t>
            </w:r>
          </w:p>
        </w:tc>
        <w:tc>
          <w:tcPr>
            <w:tcW w:type="dxa" w:w="2351"/>
          </w:tcPr>
          <w:p>
            <w:r>
              <w:t>10.000.000</w:t>
            </w:r>
          </w:p>
        </w:tc>
      </w:tr>
    </w:tbl>
    <w:p/>
    <w:p>
      <w:pPr>
        <w:pStyle w:val="Heading1"/>
        <w:spacing w:before="280" w:after="120"/>
      </w:pPr>
      <w:r>
        <w:t>VI. ĐIỀU KHOẢN THI HÀNH</w:t>
      </w:r>
    </w:p>
    <w:p>
      <w:pPr>
        <w:spacing w:after="120"/>
      </w:pPr>
      <w:r>
        <w:t>Quy chế này có hiệu lực từ ngày 01 tháng 07 năm 2026 và sẽ bãi bỏ mọi văn bản quy định trước đó liên quan đến quy trình đào tạo nội bộ và cử đi đào tạo. Phòng Nhân sự có trách nhiệm phổ biến văn bản này đến toàn thể nhân viên trong công ty và đảm bảo mọi nhân viên đều hiểu rõ quy chế. Mọi sửa đổi, bổ sung quy chế sẽ được thực hiện theo quy trình của công ty và sẽ được thông báo đến toàn thể nhân viên.</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