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VSF/44_QT_EXIT_INTERVIEW</w:t>
      </w:r>
    </w:p>
    <w:p/>
    <w:p>
      <w:pPr>
        <w:jc w:val="center"/>
      </w:pPr>
      <w:r>
        <w:rPr>
          <w:b/>
          <w:sz w:val="28"/>
        </w:rPr>
        <w:t>QUY TRÌNH PHỎNG VẤN THÔI VIỆC (EXIT INTERVIEW)</w:t>
      </w:r>
    </w:p>
    <w:p/>
    <w:p>
      <w:pPr>
        <w:pStyle w:val="Heading1"/>
        <w:spacing w:before="280" w:after="120"/>
      </w:pPr>
      <w:r>
        <w:t>I. PHẠM VI VÀ ĐỐI TƯỢNG ÁP DỤNG</w:t>
      </w:r>
    </w:p>
    <w:p>
      <w:pPr>
        <w:spacing w:after="120"/>
      </w:pPr>
      <w:r>
        <w:t>Quy trình phỏng vấn thôi việc (exit interview) được áp dụng cho toàn bộ nhân viên của Công ty TNHH Công nghệ VSF, bao gồm cả nhân viên chính thức, nhân viên thử việc, và nhân viên hợp đồng. Thời gian thực hiện phỏng vấn thôi việc được xác định khi nhân viên thông báo về việc nghỉ việc, không kể lý do nghỉ việc là tự nguyện hay bị sa thải. Đối tượng thực hiện quy trình này bao gồm các nhân viên thuộc mọi phòng ban trong công ty. Tuy nhiên, những trường hợp nhân viên nghỉ việc do vi phạm nội quy công ty hoặc các lý do khác không liên quan đến điều kiện làm việc sẽ được xem xét để miễn phỏng vấn thôi việc. Quy trình này nhằm thu thập thông tin, đánh giá nguyên nhân nghỉ việc và đề xuất những cải tiến cần thiết cho môi trường làm việc tại công ty.</w:t>
      </w:r>
    </w:p>
    <w:p>
      <w:pPr>
        <w:pStyle w:val="Heading1"/>
        <w:spacing w:before="280" w:after="120"/>
      </w:pPr>
      <w:r>
        <w:t>II. ĐỊNH NGHĨA VÀ GIẢI THÍCH THUẬT NGỮ</w:t>
      </w:r>
    </w:p>
    <w:p>
      <w:pPr>
        <w:pStyle w:val="ListNumber"/>
        <w:spacing w:after="60"/>
      </w:pPr>
      <w:r>
        <w:t>1. Phỏng vấn thôi việc (Exit Interview): Là quy trình thu thập thông tin từ nhân viên khi họ quyết định rời khỏi công ty, nhằm tìm hiểu nguyên nhân nghỉ việc và cảm nhận của nhân viên về môi trường làm việc.</w:t>
      </w:r>
    </w:p>
    <w:p>
      <w:pPr>
        <w:pStyle w:val="ListNumber"/>
        <w:spacing w:after="60"/>
      </w:pPr>
      <w:r>
        <w:t>2. Nguyên nhân nghỉ việc: Là các lý do mà nhân viên đưa ra khi quyết định rời bỏ công ty, có thể bao gồm lý do cá nhân, lý do chuyên môn, hay lý do liên quan đến môi trường làm việc.</w:t>
      </w:r>
    </w:p>
    <w:p>
      <w:pPr>
        <w:pStyle w:val="ListNumber"/>
        <w:spacing w:after="60"/>
      </w:pPr>
      <w:r>
        <w:t>3. Dữ liệu định lượng: Là các thông tin có thể đo lường bằng số liệu, giúp công ty phân tích và đưa ra quyết định dựa trên các con số cụ thể.</w:t>
      </w:r>
    </w:p>
    <w:p>
      <w:pPr>
        <w:pStyle w:val="ListNumber"/>
        <w:spacing w:after="60"/>
      </w:pPr>
      <w:r>
        <w:t>4. Dữ liệu định tính: Là các thông tin không thể đo lường bằng số liệu, thường bao gồm phản hồi, ý kiến của nhân viên về công việc và môi trường làm việc.</w:t>
      </w:r>
    </w:p>
    <w:p>
      <w:pPr>
        <w:pStyle w:val="ListNumber"/>
        <w:spacing w:after="60"/>
      </w:pPr>
      <w:r>
        <w:t>5. Báo cáo xu hướng nghỉ việc: Là tài liệu tổng hợp thông tin từ các phỏng vấn thôi việc để phát hiện các xu hướng nghỉ việc và đề xuất giải pháp cho ban lãnh đạo.</w:t>
      </w:r>
    </w:p>
    <w:p>
      <w:pPr>
        <w:pStyle w:val="ListNumber"/>
        <w:spacing w:after="60"/>
      </w:pPr>
      <w:r>
        <w:t>6. Bộ câu hỏi phỏng vấn: Là tập hợp các câu hỏi được thiết kế sẵn nhằm thu thập thông tin cần thiết từ nhân viên trong quá trình phỏng vấn thôi việc.</w:t>
      </w:r>
    </w:p>
    <w:p>
      <w:pPr>
        <w:pStyle w:val="Heading1"/>
        <w:spacing w:before="280" w:after="120"/>
      </w:pPr>
      <w:r>
        <w:t>III. NỘI DUNG QUY ĐỊNH / QUY TRÌNH CHI TIẾT</w:t>
      </w:r>
    </w:p>
    <w:p>
      <w:pPr>
        <w:pStyle w:val="Heading2"/>
        <w:spacing w:before="200" w:after="80"/>
      </w:pPr>
      <w:r>
        <w:t>3.1. Quy trình thực hiện phỏng vấn thôi việc</w:t>
      </w:r>
    </w:p>
    <w:p>
      <w:pPr>
        <w:pStyle w:val="ListBullet"/>
        <w:spacing w:after="60"/>
      </w:pPr>
      <w:r>
        <w:t>Thông báo nghỉ việc: Nhân viên thông báo cho bộ phận nhân sự về việc nghỉ việc và lý do cụ thể.</w:t>
      </w:r>
    </w:p>
    <w:p>
      <w:pPr>
        <w:pStyle w:val="ListBullet"/>
        <w:spacing w:after="60"/>
      </w:pPr>
      <w:r>
        <w:t>Đặt lịch phỏng vấn: Bộ phận nhân sự sẽ liên hệ với nhân viên để thống nhất thời gian và địa điểm phỏng vấn.</w:t>
      </w:r>
    </w:p>
    <w:p>
      <w:pPr>
        <w:pStyle w:val="ListBullet"/>
        <w:spacing w:after="60"/>
      </w:pPr>
      <w:r>
        <w:t>Thực hiện phỏng vấn: Người phỏng vấn (HR) sẽ thực hiện phỏng vấn theo bộ câu hỏi chuẩn đã được phê duyệt.</w:t>
      </w:r>
    </w:p>
    <w:p>
      <w:pPr>
        <w:pStyle w:val="Heading2"/>
        <w:spacing w:before="200" w:after="80"/>
      </w:pPr>
      <w:r>
        <w:t>3.2. Bộ câu hỏi chuẩn</w:t>
      </w:r>
    </w:p>
    <w:p>
      <w:pPr>
        <w:pStyle w:val="ListBullet"/>
        <w:spacing w:after="60"/>
      </w:pPr>
      <w:r>
        <w:t>Tại sao bạn quyết định rời bỏ công ty?</w:t>
      </w:r>
    </w:p>
    <w:p>
      <w:pPr>
        <w:pStyle w:val="ListBullet"/>
        <w:spacing w:after="60"/>
      </w:pPr>
      <w:r>
        <w:t>Bạn có hài lòng với công việc và môi trường làm việc không?</w:t>
      </w:r>
    </w:p>
    <w:p>
      <w:pPr>
        <w:pStyle w:val="ListBullet"/>
        <w:spacing w:after="60"/>
      </w:pPr>
      <w:r>
        <w:t>Bạn có đề xuất nào cho việc cải thiện môi trường làm việc tại công 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CÂU HỎI</w:t>
            </w:r>
          </w:p>
        </w:tc>
        <w:tc>
          <w:tcPr>
            <w:tcW w:type="dxa" w:w="3135"/>
          </w:tcPr>
          <w:p>
            <w:r>
              <w:rPr>
                <w:b/>
              </w:rPr>
              <w:t>LOẠI CÂU TRẢ LỜI</w:t>
            </w:r>
          </w:p>
        </w:tc>
        <w:tc>
          <w:tcPr>
            <w:tcW w:type="dxa" w:w="3135"/>
          </w:tcPr>
          <w:p>
            <w:r>
              <w:rPr>
                <w:b/>
              </w:rPr>
              <w:t>GHI CHÚ</w:t>
            </w:r>
          </w:p>
        </w:tc>
      </w:tr>
      <w:tr>
        <w:tc>
          <w:tcPr>
            <w:tcW w:type="dxa" w:w="3135"/>
          </w:tcPr>
          <w:p>
            <w:r>
              <w:t>Tại sao bạn quyết định rời bỏ công ty?</w:t>
            </w:r>
          </w:p>
        </w:tc>
        <w:tc>
          <w:tcPr>
            <w:tcW w:type="dxa" w:w="3135"/>
          </w:tcPr>
          <w:p>
            <w:r>
              <w:t>Mở</w:t>
            </w:r>
          </w:p>
        </w:tc>
        <w:tc>
          <w:tcPr>
            <w:tcW w:type="dxa" w:w="3135"/>
          </w:tcPr>
          <w:p>
            <w:r>
              <w:t>Lý do cá nhân, lý do công việc</w:t>
            </w:r>
          </w:p>
        </w:tc>
      </w:tr>
      <w:tr>
        <w:tc>
          <w:tcPr>
            <w:tcW w:type="dxa" w:w="3135"/>
          </w:tcPr>
          <w:p>
            <w:r>
              <w:t>Bạn có hài lòng với công việc và môi trường làm việc không?</w:t>
            </w:r>
          </w:p>
        </w:tc>
        <w:tc>
          <w:tcPr>
            <w:tcW w:type="dxa" w:w="3135"/>
          </w:tcPr>
          <w:p>
            <w:r>
              <w:t>Đóng</w:t>
            </w:r>
          </w:p>
        </w:tc>
        <w:tc>
          <w:tcPr>
            <w:tcW w:type="dxa" w:w="3135"/>
          </w:tcPr>
          <w:p>
            <w:r>
              <w:t>Hài lòng, không hài lòng</w:t>
            </w:r>
          </w:p>
        </w:tc>
      </w:tr>
      <w:tr>
        <w:tc>
          <w:tcPr>
            <w:tcW w:type="dxa" w:w="3135"/>
          </w:tcPr>
          <w:p>
            <w:r>
              <w:t>Bạn có đề xuất nào cho việc cải thiện môi trường làm việc tại công ty?</w:t>
            </w:r>
          </w:p>
        </w:tc>
        <w:tc>
          <w:tcPr>
            <w:tcW w:type="dxa" w:w="3135"/>
          </w:tcPr>
          <w:p>
            <w:r>
              <w:t>Mở</w:t>
            </w:r>
          </w:p>
        </w:tc>
        <w:tc>
          <w:tcPr>
            <w:tcW w:type="dxa" w:w="3135"/>
          </w:tcPr>
          <w:p>
            <w:r>
              <w:t>Các đề xuất cụ thể</w:t>
            </w:r>
          </w:p>
        </w:tc>
      </w:tr>
    </w:tbl>
    <w:p/>
    <w:p>
      <w:pPr>
        <w:pStyle w:val="Heading2"/>
        <w:spacing w:before="200" w:after="80"/>
      </w:pPr>
      <w:r>
        <w:t>3.3. Ghi chép và phân tích kết quả</w:t>
      </w:r>
    </w:p>
    <w:p>
      <w:pPr>
        <w:pStyle w:val="ListBullet"/>
        <w:spacing w:after="60"/>
      </w:pPr>
      <w:r>
        <w:t>Ghi chép thông tin: Người phỏng vấn sẽ ghi chép lại toàn bộ thông tin trong buổi phỏng vấn để đảm bảo không bỏ sót bất kỳ ý kiến nào.</w:t>
      </w:r>
    </w:p>
    <w:p>
      <w:pPr>
        <w:pStyle w:val="ListBullet"/>
        <w:spacing w:after="60"/>
      </w:pPr>
      <w:r>
        <w:t>Phân tích dữ liệu: Sau khi phỏng vấn xong, bộ phận nhân sự sẽ phân tích dữ liệu thu thập được để tìm ra nguyên nhân chính dẫn đến việc nghỉ việc.</w:t>
      </w:r>
    </w:p>
    <w:p>
      <w:pPr>
        <w:pStyle w:val="ListBullet"/>
        <w:spacing w:after="60"/>
      </w:pPr>
      <w:r>
        <w:t>Lập báo cáo: Báo cáo xu hướng nghỉ việc sẽ được lập hàng quý và gửi đến ban lãnh đạo để xem xét và đề xuất các giải pháp cải thiện.</w:t>
      </w:r>
    </w:p>
    <w:p>
      <w:pPr>
        <w:pStyle w:val="Heading2"/>
        <w:spacing w:before="200" w:after="80"/>
      </w:pPr>
      <w:r>
        <w:t>3.4. Đánh giá và cải tiến quy trình</w:t>
      </w:r>
    </w:p>
    <w:p>
      <w:pPr>
        <w:pStyle w:val="ListBullet"/>
        <w:spacing w:after="60"/>
      </w:pPr>
      <w:r>
        <w:t>Đánh giá hiệu quả: Hàng năm, quy trình phỏng vấn thôi việc sẽ được đánh giá lại để đảm bảo tính hiệu quả và phù hợp với tình hình thực tế.</w:t>
      </w:r>
    </w:p>
    <w:p>
      <w:pPr>
        <w:pStyle w:val="ListBullet"/>
        <w:spacing w:after="60"/>
      </w:pPr>
      <w:r>
        <w:t>Cải tiến bộ câu hỏi: Bộ câu hỏi phỏng vấn cần được cập nhật định kỳ để phản ánh chính xác nhất nhu cầu và mong muốn của nhân viên.</w:t>
      </w:r>
    </w:p>
    <w:p>
      <w:pPr>
        <w:pStyle w:val="ListBullet"/>
        <w:spacing w:after="60"/>
      </w:pPr>
      <w:r>
        <w:t>Đào tạo nhân sự: Nhân viên bộ phận nhân sự sẽ được đào tạo định kỳ về kỹ năng phỏng vấn và phân tích dữ liệu.</w:t>
      </w:r>
    </w:p>
    <w:p>
      <w:pPr>
        <w:pStyle w:val="Heading2"/>
        <w:spacing w:before="200" w:after="80"/>
      </w:pPr>
      <w:r>
        <w:t>3.5. Thời gian lưu trữ thông tin</w:t>
      </w:r>
    </w:p>
    <w:p>
      <w:pPr>
        <w:pStyle w:val="ListBullet"/>
        <w:spacing w:after="60"/>
      </w:pPr>
      <w:r>
        <w:t>Thời gian lưu trữ: Tất cả thông tin từ các buổi phỏng vấn thôi việc sẽ được lưu trữ trong thời gian tối thiểu 3 năm.</w:t>
      </w:r>
    </w:p>
    <w:p>
      <w:pPr>
        <w:pStyle w:val="ListBullet"/>
        <w:spacing w:after="60"/>
      </w:pPr>
      <w:r>
        <w:t>Quyền truy cập: Chỉ các nhân viên được ủy quyền mới có quyền truy cập vào thông tin phỏng vấn thôi việc.</w:t>
      </w:r>
    </w:p>
    <w:p>
      <w:pPr>
        <w:pStyle w:val="ListBullet"/>
        <w:spacing w:after="60"/>
      </w:pPr>
      <w:r>
        <w:t>Bảo mật thông tin: Tất cả thông tin được ghi chép trong buổi phỏng vấn sẽ được bảo mật tuyệt đối để đảm bảo quyền riêng tư của nhân viên.</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PHẬN/NGƯỜI CÓ TRÁCH NHIỆM</w:t>
            </w:r>
          </w:p>
        </w:tc>
        <w:tc>
          <w:tcPr>
            <w:tcW w:type="dxa" w:w="3135"/>
          </w:tcPr>
          <w:p>
            <w:r>
              <w:rPr>
                <w:b/>
              </w:rPr>
              <w:t>TRÁCH NHIỆM CỤ THỂ</w:t>
            </w:r>
          </w:p>
        </w:tc>
        <w:tc>
          <w:tcPr>
            <w:tcW w:type="dxa" w:w="3135"/>
          </w:tcPr>
          <w:p>
            <w:r>
              <w:rPr>
                <w:b/>
              </w:rPr>
              <w:t>GHI CHÚ</w:t>
            </w:r>
          </w:p>
        </w:tc>
      </w:tr>
      <w:tr>
        <w:tc>
          <w:tcPr>
            <w:tcW w:type="dxa" w:w="3135"/>
          </w:tcPr>
          <w:p>
            <w:r>
              <w:t>Bộ phận nhân sự</w:t>
            </w:r>
          </w:p>
        </w:tc>
        <w:tc>
          <w:tcPr>
            <w:tcW w:type="dxa" w:w="3135"/>
          </w:tcPr>
          <w:p>
            <w:r>
              <w:t>Thực hiện phỏng vấn thôi việc</w:t>
            </w:r>
          </w:p>
        </w:tc>
        <w:tc>
          <w:tcPr>
            <w:tcW w:type="dxa" w:w="3135"/>
          </w:tcPr>
          <w:p>
            <w:r>
              <w:t>Chịu trách nhiệm chính trong quy trình</w:t>
            </w:r>
          </w:p>
        </w:tc>
      </w:tr>
      <w:tr>
        <w:tc>
          <w:tcPr>
            <w:tcW w:type="dxa" w:w="3135"/>
          </w:tcPr>
          <w:p>
            <w:r>
              <w:t>Bộ phận quản lý</w:t>
            </w:r>
          </w:p>
        </w:tc>
        <w:tc>
          <w:tcPr>
            <w:tcW w:type="dxa" w:w="3135"/>
          </w:tcPr>
          <w:p>
            <w:r>
              <w:t>Cung cấp thông tin về nhân viên nghỉ việc</w:t>
            </w:r>
          </w:p>
        </w:tc>
        <w:tc>
          <w:tcPr>
            <w:tcW w:type="dxa" w:w="3135"/>
          </w:tcPr>
          <w:p>
            <w:r>
              <w:t>Đảm bảo thông tin chính xác</w:t>
            </w:r>
          </w:p>
        </w:tc>
      </w:tr>
      <w:tr>
        <w:tc>
          <w:tcPr>
            <w:tcW w:type="dxa" w:w="3135"/>
          </w:tcPr>
          <w:p>
            <w:r>
              <w:t>Bộ phận quản lý cấp cao</w:t>
            </w:r>
          </w:p>
        </w:tc>
        <w:tc>
          <w:tcPr>
            <w:tcW w:type="dxa" w:w="3135"/>
          </w:tcPr>
          <w:p>
            <w:r>
              <w:t>Xem xét báo cáo xu hướng nghỉ việc</w:t>
            </w:r>
          </w:p>
        </w:tc>
        <w:tc>
          <w:tcPr>
            <w:tcW w:type="dxa" w:w="3135"/>
          </w:tcPr>
          <w:p>
            <w:r>
              <w:t>Đưa ra các quyết định cải tiến</w:t>
            </w:r>
          </w:p>
        </w:tc>
      </w:tr>
      <w:tr>
        <w:tc>
          <w:tcPr>
            <w:tcW w:type="dxa" w:w="3135"/>
          </w:tcPr>
          <w:p>
            <w:r>
              <w:t>Nhân viên nghỉ việc</w:t>
            </w:r>
          </w:p>
        </w:tc>
        <w:tc>
          <w:tcPr>
            <w:tcW w:type="dxa" w:w="3135"/>
          </w:tcPr>
          <w:p>
            <w:r>
              <w:t>Cung cấp thông tin trung thực trong phỏng vấn</w:t>
            </w:r>
          </w:p>
        </w:tc>
        <w:tc>
          <w:tcPr>
            <w:tcW w:type="dxa" w:w="3135"/>
          </w:tcPr>
          <w:p>
            <w:r>
              <w:t>Đảm bảo tính khách quan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Không tham gia phỏng vấn thôi việc</w:t>
            </w:r>
          </w:p>
        </w:tc>
        <w:tc>
          <w:tcPr>
            <w:tcW w:type="dxa" w:w="1881"/>
          </w:tcPr>
          <w:p>
            <w:r>
              <w:t>1 lần</w:t>
            </w:r>
          </w:p>
        </w:tc>
        <w:tc>
          <w:tcPr>
            <w:tcW w:type="dxa" w:w="1881"/>
          </w:tcPr>
          <w:p>
            <w:r>
              <w:t>Nhắc nhở bằng văn bản</w:t>
            </w:r>
          </w:p>
        </w:tc>
        <w:tc>
          <w:tcPr>
            <w:tcW w:type="dxa" w:w="1881"/>
          </w:tcPr>
          <w:p>
            <w:r>
              <w:t>1.000.000</w:t>
            </w:r>
          </w:p>
        </w:tc>
      </w:tr>
      <w:tr>
        <w:tc>
          <w:tcPr>
            <w:tcW w:type="dxa" w:w="1881"/>
          </w:tcPr>
          <w:p>
            <w:r>
              <w:t>2</w:t>
            </w:r>
          </w:p>
        </w:tc>
        <w:tc>
          <w:tcPr>
            <w:tcW w:type="dxa" w:w="1881"/>
          </w:tcPr>
          <w:p>
            <w:r>
              <w:t>Cung cấp thông tin sai lệch trong phỏng vấn</w:t>
            </w:r>
          </w:p>
        </w:tc>
        <w:tc>
          <w:tcPr>
            <w:tcW w:type="dxa" w:w="1881"/>
          </w:tcPr>
          <w:p>
            <w:r>
              <w:t>1 lần</w:t>
            </w:r>
          </w:p>
        </w:tc>
        <w:tc>
          <w:tcPr>
            <w:tcW w:type="dxa" w:w="1881"/>
          </w:tcPr>
          <w:p>
            <w:r>
              <w:t>Cảnh cáo</w:t>
            </w:r>
          </w:p>
        </w:tc>
        <w:tc>
          <w:tcPr>
            <w:tcW w:type="dxa" w:w="1881"/>
          </w:tcPr>
          <w:p>
            <w:r>
              <w:t>2.000.000</w:t>
            </w:r>
          </w:p>
        </w:tc>
      </w:tr>
      <w:tr>
        <w:tc>
          <w:tcPr>
            <w:tcW w:type="dxa" w:w="1881"/>
          </w:tcPr>
          <w:p>
            <w:r>
              <w:t>3</w:t>
            </w:r>
          </w:p>
        </w:tc>
        <w:tc>
          <w:tcPr>
            <w:tcW w:type="dxa" w:w="1881"/>
          </w:tcPr>
          <w:p>
            <w:r>
              <w:t>Từ chối không cung cấp lý do nghỉ việc</w:t>
            </w:r>
          </w:p>
        </w:tc>
        <w:tc>
          <w:tcPr>
            <w:tcW w:type="dxa" w:w="1881"/>
          </w:tcPr>
          <w:p>
            <w:r>
              <w:t>1 lần</w:t>
            </w:r>
          </w:p>
        </w:tc>
        <w:tc>
          <w:tcPr>
            <w:tcW w:type="dxa" w:w="1881"/>
          </w:tcPr>
          <w:p>
            <w:r>
              <w:t>Cảnh cáo</w:t>
            </w:r>
          </w:p>
        </w:tc>
        <w:tc>
          <w:tcPr>
            <w:tcW w:type="dxa" w:w="1881"/>
          </w:tcPr>
          <w:p>
            <w:r>
              <w:t>2.500.000</w:t>
            </w:r>
          </w:p>
        </w:tc>
      </w:tr>
      <w:tr>
        <w:tc>
          <w:tcPr>
            <w:tcW w:type="dxa" w:w="1881"/>
          </w:tcPr>
          <w:p>
            <w:r>
              <w:t>4</w:t>
            </w:r>
          </w:p>
        </w:tc>
        <w:tc>
          <w:tcPr>
            <w:tcW w:type="dxa" w:w="1881"/>
          </w:tcPr>
          <w:p>
            <w:r>
              <w:t>Lặp lại vi phạm</w:t>
            </w:r>
          </w:p>
        </w:tc>
        <w:tc>
          <w:tcPr>
            <w:tcW w:type="dxa" w:w="1881"/>
          </w:tcPr>
          <w:p>
            <w:r>
              <w:t>2 lần trở lên</w:t>
            </w:r>
          </w:p>
        </w:tc>
        <w:tc>
          <w:tcPr>
            <w:tcW w:type="dxa" w:w="1881"/>
          </w:tcPr>
          <w:p>
            <w:r>
              <w:t>Sa thải</w:t>
            </w:r>
          </w:p>
        </w:tc>
        <w:tc>
          <w:tcPr>
            <w:tcW w:type="dxa" w:w="1881"/>
          </w:tcPr>
          <w:p>
            <w:r>
              <w:t>5.000.000</w:t>
            </w:r>
          </w:p>
        </w:tc>
      </w:tr>
    </w:tbl>
    <w:p/>
    <w:p>
      <w:pPr>
        <w:pStyle w:val="Heading1"/>
        <w:spacing w:before="280" w:after="120"/>
      </w:pPr>
      <w:r>
        <w:t>VI. ĐIỀU KHOẢN THI HÀNH</w:t>
      </w:r>
    </w:p>
    <w:p>
      <w:pPr>
        <w:spacing w:after="120"/>
      </w:pPr>
      <w:r>
        <w:t>Quy trình phỏng vấn thôi việc có hiệu lực từ ngày 01/07/2026. Quy trình này sẽ bãi bỏ tất cả các văn bản trước đó liên quan đến quy trình phỏng vấn thôi việc trong công ty. Bộ phận nhân sự có trách nhiệm phổ biến quy trình này đến toàn bộ nhân viên trong công ty. Mọi thay đổi hay cập nhật quy trình sẽ được thông báo đến các bộ phận liên quan và nhân viên trong thời gian sớm nhất.</w:t>
      </w:r>
    </w:p>
    <w:p>
      <w:pPr>
        <w:spacing w:after="120"/>
      </w:pPr>
      <w:r>
        <w:t>TP. Ho Chi Minh, ngày 01 tháng 07 năm 2026</w:t>
      </w:r>
    </w:p>
    <w:p>
      <w:pPr>
        <w:pStyle w:val="Heading1"/>
        <w:spacing w:before="280" w:after="120"/>
      </w:pPr>
      <w:r>
        <w:t>GIÁM ĐỐC ĐIỀU HÀNH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