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VSF/47_QD_BHLD_TRANG_BI_</w:t>
      </w:r>
    </w:p>
    <w:p/>
    <w:p>
      <w:pPr>
        <w:jc w:val="center"/>
      </w:pPr>
      <w:r>
        <w:rPr>
          <w:b/>
          <w:sz w:val="28"/>
        </w:rPr>
        <w:t>QUY ĐỊNH BẢO HỘ LAO ĐỘNG VÀ CẤP PHÁT TRANG THIẾT BỊ BẢO HỘ</w:t>
      </w:r>
    </w:p>
    <w:p/>
    <w:p>
      <w:pPr>
        <w:pStyle w:val="Heading1"/>
        <w:spacing w:before="280" w:after="120"/>
      </w:pPr>
      <w:r>
        <w:t>I. PHẠM VI VÀ ĐỐI TƯỢNG ÁP DỤNG</w:t>
      </w:r>
    </w:p>
    <w:p>
      <w:pPr>
        <w:spacing w:after="120"/>
      </w:pPr>
      <w:r>
        <w:t>Quy định này áp dụng cho toàn bộ nhân viên của Công ty TNHH Công nghệ VSF, bao gồm cả nhân viên làm việc tại các bộ phận IT, văn phòng, kho và nhà máy. Tài liệu này có hiệu lực kể từ ngày 01 tháng 07 năm 2026 và được áp dụng trong suốt thời gian nhân viên làm việc tại công ty. Các đối tượng ngoại lệ bao gồm các tình huống khẩn cấp hoặc các trường hợp đặc biệt được Giám đốc Công ty phê duyệt. Quy định này nhằm đảm bảo an toàn lao động và bảo vệ sức khỏe cho nhân viên, đồng thời nâng cao ý thức trách nhiệm trong việc sử dụng trang thiết bị bảo hộ.</w:t>
      </w:r>
    </w:p>
    <w:p>
      <w:pPr>
        <w:pStyle w:val="Heading1"/>
        <w:spacing w:before="280" w:after="120"/>
      </w:pPr>
      <w:r>
        <w:t>II. ĐỊNH NGHĨA VÀ GIẢI THÍCH THUẬT NGỮ</w:t>
      </w:r>
    </w:p>
    <w:p>
      <w:pPr>
        <w:pStyle w:val="ListNumber"/>
        <w:spacing w:after="60"/>
      </w:pPr>
      <w:r>
        <w:t>1. Trang thiết bị bảo hộ: Là các thiết bị, dụng cụ được thiết kế để bảo vệ người lao động khỏi các nguy cơ, rủi ro trong quá trình làm việc, bao gồm nhưng không giới hạn ở mũ bảo hiểm, găng tay, kính bảo hộ và giày bảo hộ.</w:t>
      </w:r>
    </w:p>
    <w:p>
      <w:pPr>
        <w:pStyle w:val="ListNumber"/>
        <w:spacing w:after="60"/>
      </w:pPr>
      <w:r>
        <w:t>2. Bảo hộ lao động: Là các biện pháp kỹ thuật, tổ chức nhằm giảm thiểu và ngăn ngừa tai nạn lao động, bệnh nghề nghiệp, đảm bảo an toàn cho người lao động trong môi trường làm việc.</w:t>
      </w:r>
    </w:p>
    <w:p>
      <w:pPr>
        <w:pStyle w:val="ListNumber"/>
        <w:spacing w:after="60"/>
      </w:pPr>
      <w:r>
        <w:t>3. Cấp phát trang thiết bị: Là quy trình cung cấp các trang thiết bị bảo hộ cho nhân viên, bao gồm việc xác định nhu cầu, thực hiện cấp phát và ghi chép lại thông tin liên quan.</w:t>
      </w:r>
    </w:p>
    <w:p>
      <w:pPr>
        <w:pStyle w:val="ListNumber"/>
        <w:spacing w:after="60"/>
      </w:pPr>
      <w:r>
        <w:t>4. Thời hạn sử dụng: Là khoảng thời gian mà trang thiết bị bảo hộ được coi là an toàn và hiệu quả trong việc bảo vệ người lao động, sau thời gian này, thiết bị cần được kiểm tra, bảo trì hoặc thay thế.</w:t>
      </w:r>
    </w:p>
    <w:p>
      <w:pPr>
        <w:pStyle w:val="ListNumber"/>
        <w:spacing w:after="60"/>
      </w:pPr>
      <w:r>
        <w:t>5. Quy trình bàn giao: Là quy trình chuyển giao trang thiết bị bảo hộ từ nhân viên này sang nhân viên khác hoặc từ nhân viên về bộ phận quản lý khi nghỉ việc, bao gồm việc kiểm tra tình trạng thiết bị và ghi nhận vào sổ sách.</w:t>
      </w:r>
    </w:p>
    <w:p>
      <w:pPr>
        <w:pStyle w:val="ListNumber"/>
        <w:spacing w:after="60"/>
      </w:pPr>
      <w:r>
        <w:t>6. Trách nhiệm sử dụng: Là nghĩa vụ của nhân viên trong việc sử dụng, bảo quản và thông báo về tình trạng trang thiết bị bảo hộ trong suốt thời gian làm việc.</w:t>
      </w:r>
    </w:p>
    <w:p>
      <w:pPr>
        <w:pStyle w:val="Heading1"/>
        <w:spacing w:before="280" w:after="120"/>
      </w:pPr>
      <w:r>
        <w:t>III. NỘI DUNG QUY ĐỊNH / QUY TRÌNH CHI TIẾT</w:t>
      </w:r>
    </w:p>
    <w:p>
      <w:pPr>
        <w:pStyle w:val="Heading2"/>
        <w:spacing w:before="200" w:after="80"/>
      </w:pPr>
      <w:r>
        <w:t>3.1. Danh mục trang thiết bị bảo hộ</w:t>
      </w:r>
    </w:p>
    <w:p>
      <w:pPr>
        <w:pStyle w:val="ListBullet"/>
        <w:spacing w:after="60"/>
      </w:pPr>
      <w:r>
        <w:t>Đối với bộ phận IT và văn phòng:</w:t>
      </w:r>
    </w:p>
    <w:p>
      <w:pPr>
        <w:pStyle w:val="ListBullet"/>
        <w:spacing w:after="60"/>
      </w:pPr>
      <w:r>
        <w:t>Kính bảo hộ.</w:t>
      </w:r>
    </w:p>
    <w:p>
      <w:pPr>
        <w:pStyle w:val="ListBullet"/>
        <w:spacing w:after="60"/>
      </w:pPr>
      <w:r>
        <w:t>Găng tay bảo hộ.</w:t>
      </w:r>
    </w:p>
    <w:p>
      <w:pPr>
        <w:pStyle w:val="ListBullet"/>
        <w:spacing w:after="60"/>
      </w:pPr>
      <w:r>
        <w:t>Mũ bảo hiểm (trong trường hợp cần thiết).</w:t>
      </w:r>
    </w:p>
    <w:p>
      <w:pPr>
        <w:pStyle w:val="ListBullet"/>
        <w:spacing w:after="60"/>
      </w:pPr>
      <w:r>
        <w:t>Giày bảo hộ (trong trường hợp cần thiết).</w:t>
      </w:r>
    </w:p>
    <w:p>
      <w:pPr>
        <w:pStyle w:val="ListBullet"/>
        <w:spacing w:after="60"/>
      </w:pPr>
      <w:r>
        <w:t>Đối với bộ phận kho và nhà máy:</w:t>
      </w:r>
    </w:p>
    <w:p>
      <w:pPr>
        <w:pStyle w:val="ListBullet"/>
        <w:spacing w:after="60"/>
      </w:pPr>
      <w:r>
        <w:t>Mũ bảo hiểm.</w:t>
      </w:r>
    </w:p>
    <w:p>
      <w:pPr>
        <w:pStyle w:val="ListBullet"/>
        <w:spacing w:after="60"/>
      </w:pPr>
      <w:r>
        <w:t>Kính bảo hộ.</w:t>
      </w:r>
    </w:p>
    <w:p>
      <w:pPr>
        <w:pStyle w:val="ListBullet"/>
        <w:spacing w:after="60"/>
      </w:pPr>
      <w:r>
        <w:t>Găng tay bảo hộ.</w:t>
      </w:r>
    </w:p>
    <w:p>
      <w:pPr>
        <w:pStyle w:val="ListBullet"/>
        <w:spacing w:after="60"/>
      </w:pPr>
      <w:r>
        <w:t>Giày bảo hộ.</w:t>
      </w:r>
    </w:p>
    <w:p>
      <w:pPr>
        <w:pStyle w:val="ListBullet"/>
        <w:spacing w:after="60"/>
      </w:pPr>
      <w:r>
        <w:t>Quần áo bảo hộ lao động.</w:t>
      </w:r>
    </w:p>
    <w:p>
      <w:pPr>
        <w:pStyle w:val="ListBullet"/>
        <w:spacing w:after="60"/>
      </w:pPr>
      <w:r>
        <w:t>Bảng danh mục trang thiết bị bảo hộ:</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TÊN THIẾT BỊ</w:t>
            </w:r>
          </w:p>
        </w:tc>
        <w:tc>
          <w:tcPr>
            <w:tcW w:type="dxa" w:w="3135"/>
          </w:tcPr>
          <w:p>
            <w:r>
              <w:rPr>
                <w:b/>
              </w:rPr>
              <w:t>LOẠI BỘ PHẬN</w:t>
            </w:r>
          </w:p>
        </w:tc>
        <w:tc>
          <w:tcPr>
            <w:tcW w:type="dxa" w:w="3135"/>
          </w:tcPr>
          <w:p>
            <w:r>
              <w:rPr>
                <w:b/>
              </w:rPr>
              <w:t>SỐ LƯỢNG CẤP PHÁT</w:t>
            </w:r>
          </w:p>
        </w:tc>
      </w:tr>
      <w:tr>
        <w:tc>
          <w:tcPr>
            <w:tcW w:type="dxa" w:w="3135"/>
          </w:tcPr>
          <w:p>
            <w:r>
              <w:t>Kính bảo hộ</w:t>
            </w:r>
          </w:p>
        </w:tc>
        <w:tc>
          <w:tcPr>
            <w:tcW w:type="dxa" w:w="3135"/>
          </w:tcPr>
          <w:p>
            <w:r>
              <w:t>IT/Văn phòng</w:t>
            </w:r>
          </w:p>
        </w:tc>
        <w:tc>
          <w:tcPr>
            <w:tcW w:type="dxa" w:w="3135"/>
          </w:tcPr>
          <w:p>
            <w:r>
              <w:t>50</w:t>
            </w:r>
          </w:p>
        </w:tc>
      </w:tr>
      <w:tr>
        <w:tc>
          <w:tcPr>
            <w:tcW w:type="dxa" w:w="3135"/>
          </w:tcPr>
          <w:p>
            <w:r>
              <w:t>Găng tay bảo hộ</w:t>
            </w:r>
          </w:p>
        </w:tc>
        <w:tc>
          <w:tcPr>
            <w:tcW w:type="dxa" w:w="3135"/>
          </w:tcPr>
          <w:p>
            <w:r>
              <w:t>IT/Văn phòng</w:t>
            </w:r>
          </w:p>
        </w:tc>
        <w:tc>
          <w:tcPr>
            <w:tcW w:type="dxa" w:w="3135"/>
          </w:tcPr>
          <w:p>
            <w:r>
              <w:t>50</w:t>
            </w:r>
          </w:p>
        </w:tc>
      </w:tr>
      <w:tr>
        <w:tc>
          <w:tcPr>
            <w:tcW w:type="dxa" w:w="3135"/>
          </w:tcPr>
          <w:p>
            <w:r>
              <w:t>Mũ bảo hiểm</w:t>
            </w:r>
          </w:p>
        </w:tc>
        <w:tc>
          <w:tcPr>
            <w:tcW w:type="dxa" w:w="3135"/>
          </w:tcPr>
          <w:p>
            <w:r>
              <w:t>Kho/Nhà máy</w:t>
            </w:r>
          </w:p>
        </w:tc>
        <w:tc>
          <w:tcPr>
            <w:tcW w:type="dxa" w:w="3135"/>
          </w:tcPr>
          <w:p>
            <w:r>
              <w:t>30</w:t>
            </w:r>
          </w:p>
        </w:tc>
      </w:tr>
      <w:tr>
        <w:tc>
          <w:tcPr>
            <w:tcW w:type="dxa" w:w="3135"/>
          </w:tcPr>
          <w:p>
            <w:r>
              <w:t>Giày bảo hộ</w:t>
            </w:r>
          </w:p>
        </w:tc>
        <w:tc>
          <w:tcPr>
            <w:tcW w:type="dxa" w:w="3135"/>
          </w:tcPr>
          <w:p>
            <w:r>
              <w:t>Kho/Nhà máy</w:t>
            </w:r>
          </w:p>
        </w:tc>
        <w:tc>
          <w:tcPr>
            <w:tcW w:type="dxa" w:w="3135"/>
          </w:tcPr>
          <w:p>
            <w:r>
              <w:t>30</w:t>
            </w:r>
          </w:p>
        </w:tc>
      </w:tr>
      <w:tr>
        <w:tc>
          <w:tcPr>
            <w:tcW w:type="dxa" w:w="3135"/>
          </w:tcPr>
          <w:p>
            <w:r>
              <w:t>Quần áo bảo hộ</w:t>
            </w:r>
          </w:p>
        </w:tc>
        <w:tc>
          <w:tcPr>
            <w:tcW w:type="dxa" w:w="3135"/>
          </w:tcPr>
          <w:p>
            <w:r>
              <w:t>Kho/Nhà máy</w:t>
            </w:r>
          </w:p>
        </w:tc>
        <w:tc>
          <w:tcPr>
            <w:tcW w:type="dxa" w:w="3135"/>
          </w:tcPr>
          <w:p>
            <w:r>
              <w:t>30</w:t>
            </w:r>
          </w:p>
        </w:tc>
      </w:tr>
    </w:tbl>
    <w:p/>
    <w:p>
      <w:pPr>
        <w:pStyle w:val="Heading2"/>
        <w:spacing w:before="200" w:after="80"/>
      </w:pPr>
      <w:r>
        <w:t>3.2. Quy trình cấp phát trang thiết bị bảo hộ</w:t>
      </w:r>
    </w:p>
    <w:p>
      <w:pPr>
        <w:pStyle w:val="ListBullet"/>
        <w:spacing w:after="60"/>
      </w:pPr>
      <w:r>
        <w:t>Nhân viên yêu cầu cấp phát trang thiết bị bảo hộ thông qua đơn xin cấp phát gửi đến bộ phận Hành chính.</w:t>
      </w:r>
    </w:p>
    <w:p>
      <w:pPr>
        <w:pStyle w:val="ListBullet"/>
        <w:spacing w:after="60"/>
      </w:pPr>
      <w:r>
        <w:t>Bộ phận Hành chính kiểm tra và phê duyệt yêu cầu, sau đó thực hiện cấp phát thiết bị cho nhân viên.</w:t>
      </w:r>
    </w:p>
    <w:p>
      <w:pPr>
        <w:pStyle w:val="ListBullet"/>
        <w:spacing w:after="60"/>
      </w:pPr>
      <w:r>
        <w:t>Thông tin về việc cấp phát trang thiết bị sẽ được ghi nhận vào sổ cấp phát để theo dõi.</w:t>
      </w:r>
    </w:p>
    <w:p>
      <w:pPr>
        <w:pStyle w:val="Heading2"/>
        <w:spacing w:before="200" w:after="80"/>
      </w:pPr>
      <w:r>
        <w:t>3.3. Thời hạn sử dụng trang thiết bị bảo hộ</w:t>
      </w:r>
    </w:p>
    <w:p>
      <w:pPr>
        <w:pStyle w:val="ListBullet"/>
        <w:spacing w:after="60"/>
      </w:pPr>
      <w:r>
        <w:t>Các trang thiết bị bảo hộ sẽ được kiểm tra định kỳ hàng năm để đánh giá tình trạng và mức độ an toàn.</w:t>
      </w:r>
    </w:p>
    <w:p>
      <w:pPr>
        <w:pStyle w:val="ListBullet"/>
        <w:spacing w:after="60"/>
      </w:pPr>
      <w:r>
        <w:t>Nếu trang thiết bị không đạt tiêu chuẩn về an toàn, bộ phận Hành chính sẽ tiến hành thu hồi và thay thế.</w:t>
      </w:r>
    </w:p>
    <w:p>
      <w:pPr>
        <w:pStyle w:val="ListBullet"/>
        <w:spacing w:after="60"/>
      </w:pPr>
      <w:r>
        <w:t>Nhân viên có trách nhiệm thông báo ngay cho bộ phận Hành chính nếu phát hiện trang thiết bị bị hư hỏng, không đảm bảo an toàn.</w:t>
      </w:r>
    </w:p>
    <w:p>
      <w:pPr>
        <w:pStyle w:val="Heading2"/>
        <w:spacing w:before="200" w:after="80"/>
      </w:pPr>
      <w:r>
        <w:t>3.4. Quy trình bàn giao trang thiết bị bảo hộ khi nghỉ việc</w:t>
      </w:r>
    </w:p>
    <w:p>
      <w:pPr>
        <w:pStyle w:val="ListBullet"/>
        <w:spacing w:after="60"/>
      </w:pPr>
      <w:r>
        <w:t>Nhân viên khi có quyết định nghỉ việc sẽ tiến hành bàn giao toàn bộ trang thiết bị bảo hộ đã được cấp phát cho bộ phận Hành chính.</w:t>
      </w:r>
    </w:p>
    <w:p>
      <w:pPr>
        <w:pStyle w:val="ListBullet"/>
        <w:spacing w:after="60"/>
      </w:pPr>
      <w:r>
        <w:t>Bộ phận Hành chính sẽ kiểm tra tình trạng trang thiết bị trước khi xác nhận bàn giao.</w:t>
      </w:r>
    </w:p>
    <w:p>
      <w:pPr>
        <w:pStyle w:val="ListBullet"/>
        <w:spacing w:after="60"/>
      </w:pPr>
      <w:r>
        <w:t>Thông tin về việc bàn giao sẽ được ghi nhận vào sổ sách để làm căn cứ theo dõi.</w:t>
      </w:r>
    </w:p>
    <w:p>
      <w:pPr>
        <w:pStyle w:val="Heading2"/>
        <w:spacing w:before="200" w:after="80"/>
      </w:pPr>
      <w:r>
        <w:t>3.5. Quy định sử dụng trang thiết bị bảo hộ</w:t>
      </w:r>
    </w:p>
    <w:p>
      <w:pPr>
        <w:pStyle w:val="ListBullet"/>
        <w:spacing w:after="60"/>
      </w:pPr>
      <w:r>
        <w:t>Nhân viên phải sử dụng trang thiết bị bảo hộ trong suốt thời gian làm việc, đặc biệt khi làm việc tại các khu vực có nguy cơ cao.</w:t>
      </w:r>
    </w:p>
    <w:p>
      <w:pPr>
        <w:pStyle w:val="ListBullet"/>
        <w:spacing w:after="60"/>
      </w:pPr>
      <w:r>
        <w:t>Tuyệt đối không được tự ý thay đổi, sửa chữa hoặc loại bỏ các trang thiết bị bảo hộ mà không có sự đồng ý của bộ phận Hành chính.</w:t>
      </w:r>
    </w:p>
    <w:p>
      <w:pPr>
        <w:pStyle w:val="ListBullet"/>
        <w:spacing w:after="60"/>
      </w:pPr>
      <w:r>
        <w:t>Nhân viên có trách nhiệm bảo quản và giữ gìn trang thiết bị bảo hộ trong tình trạng tốt, sạch sẽ.</w:t>
      </w:r>
    </w:p>
    <w:p>
      <w:pPr>
        <w:pStyle w:val="Heading1"/>
        <w:spacing w:before="280" w:after="120"/>
      </w:pPr>
      <w:r>
        <w:t>IV. TRÁCH NHIỆM CỦA CÁC BỘ PHẬN VÀ CÁ NHÂN</w:t>
      </w:r>
    </w:p>
    <w:p>
      <w:pPr>
        <w:pStyle w:val="Heading2"/>
        <w:spacing w:before="200" w:after="80"/>
      </w:pPr>
      <w:r>
        <w:t>4.1. Trách nhiệm của bộ phận Hành chính</w:t>
      </w:r>
    </w:p>
    <w:p>
      <w:pPr>
        <w:pStyle w:val="ListBullet"/>
        <w:spacing w:after="60"/>
      </w:pPr>
      <w:r>
        <w:t>Thực hiện quy trình cấp phát và thu hồi trang thiết bị bảo hộ cho nhân viên.</w:t>
      </w:r>
    </w:p>
    <w:p>
      <w:pPr>
        <w:pStyle w:val="ListBullet"/>
        <w:spacing w:after="60"/>
      </w:pPr>
      <w:r>
        <w:t>Định kỳ kiểm tra tình trạng trang thiết bị bảo hộ và báo cáo cho Giám đốc.</w:t>
      </w:r>
    </w:p>
    <w:p>
      <w:pPr>
        <w:pStyle w:val="ListBullet"/>
        <w:spacing w:after="60"/>
      </w:pPr>
      <w:r>
        <w:t>Đào tạo nhân viên về quy trình sử dụng và bảo quản trang thiết bị bảo hộ.</w:t>
      </w:r>
    </w:p>
    <w:p>
      <w:pPr>
        <w:pStyle w:val="Heading2"/>
        <w:spacing w:before="200" w:after="80"/>
      </w:pPr>
      <w:r>
        <w:t>4.2. Trách nhiệm của nhân viên</w:t>
      </w:r>
    </w:p>
    <w:p>
      <w:pPr>
        <w:pStyle w:val="ListBullet"/>
        <w:spacing w:after="60"/>
      </w:pPr>
      <w:r>
        <w:t>Sử dụng trang thiết bị bảo hộ đầy đủ và đúng cách theo quy định.</w:t>
      </w:r>
    </w:p>
    <w:p>
      <w:pPr>
        <w:pStyle w:val="ListBullet"/>
        <w:spacing w:after="60"/>
      </w:pPr>
      <w:r>
        <w:t>Thông báo kịp thời cho bộ phận Hành chính về tình trạng hư hỏng hoặc mất mát trang thiết bị.</w:t>
      </w:r>
    </w:p>
    <w:p>
      <w:pPr>
        <w:pStyle w:val="ListBullet"/>
        <w:spacing w:after="60"/>
      </w:pPr>
      <w:r>
        <w:t>Tham gia các khóa đào tạo về an toàn lao động do công ty tổ chức.</w:t>
      </w:r>
    </w:p>
    <w:p>
      <w:pPr>
        <w:pStyle w:val="Heading2"/>
        <w:spacing w:before="200" w:after="80"/>
      </w:pPr>
      <w:r>
        <w:t>4.3. Trách nhiệm của Giám đốc</w:t>
      </w:r>
    </w:p>
    <w:p>
      <w:pPr>
        <w:pStyle w:val="ListBullet"/>
        <w:spacing w:after="60"/>
      </w:pPr>
      <w:r>
        <w:t>Chỉ đạo và giám sát việc thực hiện quy định bảo hộ lao động trong công ty.</w:t>
      </w:r>
    </w:p>
    <w:p>
      <w:pPr>
        <w:pStyle w:val="ListBullet"/>
        <w:spacing w:after="60"/>
      </w:pPr>
      <w:r>
        <w:t>Đảm bảo ngân sách cho việc cấp phát và bảo trì trang thiết bị bảo hộ.</w:t>
      </w:r>
    </w:p>
    <w:p>
      <w:pPr>
        <w:pStyle w:val="ListBullet"/>
        <w:spacing w:after="60"/>
      </w:pPr>
      <w:r>
        <w:t>Xem xét và phê duyệt các đề xuất liên quan đến việc cải tiến quy trình bảo hộ lao động.</w:t>
      </w:r>
    </w:p>
    <w:p>
      <w:pPr>
        <w:pStyle w:val="Heading2"/>
        <w:spacing w:before="200" w:after="80"/>
      </w:pPr>
      <w:r>
        <w:t>4.4. Trách nhiệm của các trưởng bộ phận</w:t>
      </w:r>
    </w:p>
    <w:p>
      <w:pPr>
        <w:pStyle w:val="ListBullet"/>
        <w:spacing w:after="60"/>
      </w:pPr>
      <w:r>
        <w:t>Đảm bảo nhân viên trong bộ phận thực hiện đúng quy định về bảo hộ lao động.</w:t>
      </w:r>
    </w:p>
    <w:p>
      <w:pPr>
        <w:pStyle w:val="ListBullet"/>
        <w:spacing w:after="60"/>
      </w:pPr>
      <w:r>
        <w:t>Tổ chức các buổi họp định kỳ để nhắc nhở và kiểm tra việc tuân thủ quy định.</w:t>
      </w:r>
    </w:p>
    <w:p>
      <w:pPr>
        <w:pStyle w:val="ListBullet"/>
        <w:spacing w:after="60"/>
      </w:pPr>
      <w:r>
        <w:t>Phối hợp với bộ phận Hành chính trong việc cấp phát và thu hồi trang thiết bị bảo hộ.</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Bộ phận Hành chính</w:t>
            </w:r>
          </w:p>
        </w:tc>
        <w:tc>
          <w:tcPr>
            <w:tcW w:type="dxa" w:w="4702"/>
          </w:tcPr>
          <w:p>
            <w:r>
              <w:t>Thực hiện quy trình cấp phát và thu hồi trang thiết bị bảo hộ.</w:t>
            </w:r>
          </w:p>
        </w:tc>
      </w:tr>
      <w:tr>
        <w:tc>
          <w:tcPr>
            <w:tcW w:type="dxa" w:w="4702"/>
          </w:tcPr>
          <w:p>
            <w:r>
              <w:t>Nhân viên</w:t>
            </w:r>
          </w:p>
        </w:tc>
        <w:tc>
          <w:tcPr>
            <w:tcW w:type="dxa" w:w="4702"/>
          </w:tcPr>
          <w:p>
            <w:r>
              <w:t>Sử dụng trang thiết bị bảo hộ đầy đủ và đúng cách.</w:t>
            </w:r>
          </w:p>
        </w:tc>
      </w:tr>
      <w:tr>
        <w:tc>
          <w:tcPr>
            <w:tcW w:type="dxa" w:w="4702"/>
          </w:tcPr>
          <w:p>
            <w:r>
              <w:t>Giám đốc</w:t>
            </w:r>
          </w:p>
        </w:tc>
        <w:tc>
          <w:tcPr>
            <w:tcW w:type="dxa" w:w="4702"/>
          </w:tcPr>
          <w:p>
            <w:r>
              <w:t>Chỉ đạo và giám sát việc thực hiện quy định bảo hộ lao động.</w:t>
            </w:r>
          </w:p>
        </w:tc>
      </w:tr>
      <w:tr>
        <w:tc>
          <w:tcPr>
            <w:tcW w:type="dxa" w:w="4702"/>
          </w:tcPr>
          <w:p>
            <w:r>
              <w:t>Trưởng bộ phận</w:t>
            </w:r>
          </w:p>
        </w:tc>
        <w:tc>
          <w:tcPr>
            <w:tcW w:type="dxa" w:w="4702"/>
          </w:tcPr>
          <w:p>
            <w:r>
              <w:t>Đảm bảo nhân viên thực hiện đúng quy định về bảo hộ lao động.</w:t>
            </w:r>
          </w:p>
        </w:tc>
      </w:tr>
    </w:tbl>
    <w:p/>
    <w:p>
      <w:pPr>
        <w:pStyle w:val="Heading1"/>
        <w:spacing w:before="280" w:after="120"/>
      </w:pPr>
      <w:r>
        <w:t>V. CHẾ TÀI XỬ LÝ VI PHẠM</w:t>
      </w:r>
    </w:p>
    <w:p>
      <w:pPr>
        <w:spacing w:after="120"/>
      </w:pPr>
      <w:r>
        <w:t>Bảng mức phạt được quy định như sau:</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sử dụng trang thiết bị bảo hộ trong khu vực có nguy cơ cao</w:t>
            </w:r>
          </w:p>
        </w:tc>
        <w:tc>
          <w:tcPr>
            <w:tcW w:type="dxa" w:w="2351"/>
          </w:tcPr>
          <w:p>
            <w:r>
              <w:t>1 lần</w:t>
            </w:r>
          </w:p>
        </w:tc>
        <w:tc>
          <w:tcPr>
            <w:tcW w:type="dxa" w:w="2351"/>
          </w:tcPr>
          <w:p>
            <w:r>
              <w:t>Nhắc nhở</w:t>
            </w:r>
          </w:p>
        </w:tc>
        <w:tc>
          <w:tcPr>
            <w:tcW w:type="dxa" w:w="2351"/>
          </w:tcPr>
          <w:p>
            <w:r>
              <w:t>500.000</w:t>
            </w:r>
          </w:p>
        </w:tc>
      </w:tr>
      <w:tr>
        <w:tc>
          <w:tcPr>
            <w:tcW w:type="dxa" w:w="2351"/>
          </w:tcPr>
          <w:p>
            <w:r>
              <w:t>Không báo cáo tình trạng hư hỏng trang thiết bị bảo hộ</w:t>
            </w:r>
          </w:p>
        </w:tc>
        <w:tc>
          <w:tcPr>
            <w:tcW w:type="dxa" w:w="2351"/>
          </w:tcPr>
          <w:p>
            <w:r>
              <w:t>2 lần</w:t>
            </w:r>
          </w:p>
        </w:tc>
        <w:tc>
          <w:tcPr>
            <w:tcW w:type="dxa" w:w="2351"/>
          </w:tcPr>
          <w:p>
            <w:r>
              <w:t>Cảnh cáo</w:t>
            </w:r>
          </w:p>
        </w:tc>
        <w:tc>
          <w:tcPr>
            <w:tcW w:type="dxa" w:w="2351"/>
          </w:tcPr>
          <w:p>
            <w:r>
              <w:t>1.000.000</w:t>
            </w:r>
          </w:p>
        </w:tc>
      </w:tr>
      <w:tr>
        <w:tc>
          <w:tcPr>
            <w:tcW w:type="dxa" w:w="2351"/>
          </w:tcPr>
          <w:p>
            <w:r>
              <w:t>Sử dụng trang thiết bị đã hết hạn sử dụng</w:t>
            </w:r>
          </w:p>
        </w:tc>
        <w:tc>
          <w:tcPr>
            <w:tcW w:type="dxa" w:w="2351"/>
          </w:tcPr>
          <w:p>
            <w:r>
              <w:t>1 lần</w:t>
            </w:r>
          </w:p>
        </w:tc>
        <w:tc>
          <w:tcPr>
            <w:tcW w:type="dxa" w:w="2351"/>
          </w:tcPr>
          <w:p>
            <w:r>
              <w:t>Kỷ luật</w:t>
            </w:r>
          </w:p>
        </w:tc>
        <w:tc>
          <w:tcPr>
            <w:tcW w:type="dxa" w:w="2351"/>
          </w:tcPr>
          <w:p>
            <w:r>
              <w:t>2.000.000</w:t>
            </w:r>
          </w:p>
        </w:tc>
      </w:tr>
      <w:tr>
        <w:tc>
          <w:tcPr>
            <w:tcW w:type="dxa" w:w="2351"/>
          </w:tcPr>
          <w:p>
            <w:r>
              <w:t>Tự ý thay đổi hoặc xóa bỏ trang thiết bị bảo hộ</w:t>
            </w:r>
          </w:p>
        </w:tc>
        <w:tc>
          <w:tcPr>
            <w:tcW w:type="dxa" w:w="2351"/>
          </w:tcPr>
          <w:p>
            <w:r>
              <w:t>1 lần</w:t>
            </w:r>
          </w:p>
        </w:tc>
        <w:tc>
          <w:tcPr>
            <w:tcW w:type="dxa" w:w="2351"/>
          </w:tcPr>
          <w:p>
            <w:r>
              <w:t>Kỷ luật</w:t>
            </w:r>
          </w:p>
        </w:tc>
        <w:tc>
          <w:tcPr>
            <w:tcW w:type="dxa" w:w="2351"/>
          </w:tcPr>
          <w:p>
            <w:r>
              <w:t>3.000.000</w:t>
            </w:r>
          </w:p>
        </w:tc>
      </w:tr>
    </w:tbl>
    <w:p/>
    <w:p>
      <w:pPr>
        <w:pStyle w:val="Heading1"/>
        <w:spacing w:before="280" w:after="120"/>
      </w:pPr>
      <w:r>
        <w:t>VI. ĐIỀU KHOẢN THI HÀNH</w:t>
      </w:r>
    </w:p>
    <w:p>
      <w:pPr>
        <w:spacing w:after="120"/>
      </w:pPr>
      <w:r>
        <w:t>Quy định này có hiệu lực kể từ ngày 01 tháng 07 năm 2026. Tất cả các văn bản quy định trước đây liên quan đến bảo hộ lao động và cấp phát trang thiết bị bảo hộ sẽ bị bãi bỏ. Các bộ phận có trách nhiệm phổ biến nội dung quy định này đến toàn thể nhân viên trong công ty. Bất kỳ sự thay đổi, cập nhật hoặc sửa đổi nào liên quan đến quy định này sẽ được thực hiện theo quy trình quy định hiện hành của Công ty TNHH Công nghệ VSF.</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