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VSF/50_QT_XET_DUYET_TANG</w:t>
      </w:r>
    </w:p>
    <w:p/>
    <w:p>
      <w:pPr>
        <w:jc w:val="center"/>
      </w:pPr>
      <w:r>
        <w:rPr>
          <w:b/>
          <w:sz w:val="28"/>
        </w:rPr>
        <w:t>QUY TRÌNH XÉT DUYỆT VÀ THỰC HIỆN TĂNG LƯƠNG ĐỊNH KỲ</w:t>
      </w:r>
    </w:p>
    <w:p/>
    <w:p>
      <w:pPr>
        <w:pStyle w:val="Heading1"/>
        <w:spacing w:before="280" w:after="120"/>
      </w:pPr>
      <w:r>
        <w:t>I. PHẠM VI VÀ ĐỐI TƯỢNG ÁP DỤNG</w:t>
      </w:r>
    </w:p>
    <w:p>
      <w:pPr>
        <w:spacing w:after="120"/>
      </w:pPr>
      <w:r>
        <w:t>Quy trình xét duyệt và thực hiện tăng lương định kỳ áp dụng cho toàn bộ nhân viên của Công ty TNHH Công nghệ VSF, bao gồm tất cả các phòng ban trong công ty, từ bộ phận kỹ thuật, phát triển sản phẩm, cho đến các phòng ban hỗ trợ như nhân sự, tài chính và marketing. Quy trình này có hiệu lực áp dụng hàng năm vào ngày 01 tháng 07, dự kiến được thực hiện lần đầu vào năm 2026. Đối tượng áp dụng bao gồm toàn bộ nhân viên chính thức, những nhân viên thử việc sẽ không nằm trong diện áp dụng quy trình này. Ngoài ra, những nhân viên có hành vi vi phạm nội quy công ty trong năm tài chính sẽ không được xem xét tăng lương trong đợt xét này.</w:t>
      </w:r>
    </w:p>
    <w:p>
      <w:pPr>
        <w:pStyle w:val="Heading1"/>
        <w:spacing w:before="280" w:after="120"/>
      </w:pPr>
      <w:r>
        <w:t>II. ĐỊNH NGHĨA VÀ GIẢI THÍCH THUẬT NGỮ</w:t>
      </w:r>
    </w:p>
    <w:p>
      <w:pPr>
        <w:pStyle w:val="ListNumber"/>
        <w:spacing w:after="60"/>
      </w:pPr>
      <w:r>
        <w:t>1. Tăng lương: Là sự điều chỉnh mức lương cơ bản của nhân viên để phản ánh sự cải thiện trong hiệu suất làm việc, thâm niên công tác và điều kiện thị trường.</w:t>
      </w:r>
    </w:p>
    <w:p>
      <w:pPr>
        <w:pStyle w:val="ListNumber"/>
        <w:spacing w:after="60"/>
      </w:pPr>
      <w:r>
        <w:t>2. KPI (Key Performance Indicator): Là các chỉ số đánh giá hiệu suất làm việc của nhân viên dựa trên mục tiêu công việc đã được đặt ra trong năm.</w:t>
      </w:r>
    </w:p>
    <w:p>
      <w:pPr>
        <w:pStyle w:val="ListNumber"/>
        <w:spacing w:after="60"/>
      </w:pPr>
      <w:r>
        <w:t>3. Thâm niên: Là khoảng thời gian mà nhân viên đã làm việc tại công ty, được tính từ ngày ký hợp đồng lao động chính thức.</w:t>
      </w:r>
    </w:p>
    <w:p>
      <w:pPr>
        <w:pStyle w:val="ListNumber"/>
        <w:spacing w:after="60"/>
      </w:pPr>
      <w:r>
        <w:t>4. Mức tăng tối thiểu/tối đa: Là giới hạn về tỷ lệ phần trăm tăng lương mà nhân viên có thể nhận được trong mỗi đợt xét lương, tùy theo cấp bậc và chức vụ.</w:t>
      </w:r>
    </w:p>
    <w:p>
      <w:pPr>
        <w:pStyle w:val="ListNumber"/>
        <w:spacing w:after="60"/>
      </w:pPr>
      <w:r>
        <w:t>5. Quy trình phê duyệt: Là quy trình mà các đề xuất tăng lương phải trải qua để được xác nhận và phê duyệt bởi các cấp quản lý, bao gồm bộ phận nhân sự, quản lý trực tiếp và Giám đốc.</w:t>
      </w:r>
    </w:p>
    <w:p>
      <w:pPr>
        <w:pStyle w:val="ListNumber"/>
        <w:spacing w:after="60"/>
      </w:pPr>
      <w:r>
        <w:t>6. Thông báo kết quả: Là hình thức thông báo chính thức đến nhân viên về kết quả xét duyệt tăng lương, bao gồm thông tin cụ thể về mức lương mới và lý do điều chỉnh.</w:t>
      </w:r>
    </w:p>
    <w:p>
      <w:pPr>
        <w:pStyle w:val="Heading1"/>
        <w:spacing w:before="280" w:after="120"/>
      </w:pPr>
      <w:r>
        <w:t>III. NỘI DUNG QUY ĐỊNH / QUY TRÌNH CHI TIẾT</w:t>
      </w:r>
    </w:p>
    <w:p>
      <w:pPr>
        <w:pStyle w:val="Heading2"/>
        <w:spacing w:before="200" w:after="80"/>
      </w:pPr>
      <w:r>
        <w:t>3.1. Quy định về chu kỳ xét lương</w:t>
      </w:r>
    </w:p>
    <w:p>
      <w:pPr>
        <w:pStyle w:val="ListBullet"/>
        <w:spacing w:after="60"/>
      </w:pPr>
      <w:r>
        <w:t>Công ty sẽ thực hiện xét lương định kỳ hàng năm vào ngày 01 tháng 07.</w:t>
      </w:r>
    </w:p>
    <w:p>
      <w:pPr>
        <w:pStyle w:val="ListBullet"/>
        <w:spacing w:after="60"/>
      </w:pPr>
      <w:r>
        <w:t>Thời gian xét lương sẽ được thông báo trước đó ít nhất 30 ngày để nhân viên có thể chuẩn bị.</w:t>
      </w:r>
    </w:p>
    <w:p>
      <w:pPr>
        <w:pStyle w:val="ListBullet"/>
        <w:spacing w:after="60"/>
      </w:pPr>
      <w:r>
        <w:t>Các phòng ban sẽ phải hoàn tất việc đánh giá KPI và gửi báo cáo lên bộ phận nhân sự trước ngày 15 tháng 06 hàng năm.</w:t>
      </w:r>
    </w:p>
    <w:p>
      <w:pPr>
        <w:pStyle w:val="Heading2"/>
        <w:spacing w:before="200" w:after="80"/>
      </w:pPr>
      <w:r>
        <w:t>3.2. Tiêu chí xét lương</w:t>
      </w:r>
    </w:p>
    <w:p>
      <w:pPr>
        <w:pStyle w:val="ListBullet"/>
        <w:spacing w:after="60"/>
      </w:pPr>
      <w:r>
        <w:t>Tiêu chí chính để xét lương bao gồm hiệu suất KPI, thâm niên và điều kiện thị trường.</w:t>
      </w:r>
    </w:p>
    <w:p>
      <w:pPr>
        <w:pStyle w:val="ListBullet"/>
        <w:spacing w:after="60"/>
      </w:pPr>
      <w:r>
        <w:t>Các chỉ số KPI sẽ được xác định rõ ràng trong bảng mục tiêu và phải được thông qua bởi quản lý trực tiếp.</w:t>
      </w:r>
    </w:p>
    <w:p>
      <w:pPr>
        <w:pStyle w:val="ListBullet"/>
        <w:spacing w:after="60"/>
      </w:pPr>
      <w:r>
        <w:t>Công ty sẽ tham khảo các báo cáo thị trường để xác định mức lương cạnh tranh, đảm bảo nhân viên nhận được mức lương phù hợp với năng lực và thị trường.</w:t>
      </w:r>
    </w:p>
    <w:p>
      <w:pPr>
        <w:pStyle w:val="Heading2"/>
        <w:spacing w:before="200" w:after="80"/>
      </w:pPr>
      <w:r>
        <w:t>3.3. Mức tăng lương</w:t>
      </w:r>
    </w:p>
    <w:p>
      <w:pPr>
        <w:pStyle w:val="ListBullet"/>
        <w:spacing w:after="60"/>
      </w:pPr>
      <w:r>
        <w:t>Mức tăng lương tối thiểu sẽ là 5% và tối đa là 20% tùy theo từng cấp bậc.</w:t>
      </w:r>
    </w:p>
    <w:p>
      <w:pPr>
        <w:pStyle w:val="ListBullet"/>
        <w:spacing w:after="60"/>
      </w:pPr>
      <w:r>
        <w:t>Các mức tăng cụ thể sẽ được quy định theo bảng dưới đây:</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CẤP BẬC</w:t>
            </w:r>
          </w:p>
        </w:tc>
        <w:tc>
          <w:tcPr>
            <w:tcW w:type="dxa" w:w="3135"/>
          </w:tcPr>
          <w:p>
            <w:r>
              <w:rPr>
                <w:b/>
              </w:rPr>
              <w:t>MỨC TĂNG TỐI THIỂU</w:t>
            </w:r>
          </w:p>
        </w:tc>
        <w:tc>
          <w:tcPr>
            <w:tcW w:type="dxa" w:w="3135"/>
          </w:tcPr>
          <w:p>
            <w:r>
              <w:rPr>
                <w:b/>
              </w:rPr>
              <w:t>MỨC TĂNG TỐI ĐA</w:t>
            </w:r>
          </w:p>
        </w:tc>
      </w:tr>
      <w:tr>
        <w:tc>
          <w:tcPr>
            <w:tcW w:type="dxa" w:w="3135"/>
          </w:tcPr>
          <w:p>
            <w:r>
              <w:t>Nhân viên</w:t>
            </w:r>
          </w:p>
        </w:tc>
        <w:tc>
          <w:tcPr>
            <w:tcW w:type="dxa" w:w="3135"/>
          </w:tcPr>
          <w:p>
            <w:r>
              <w:t>5%</w:t>
            </w:r>
          </w:p>
        </w:tc>
        <w:tc>
          <w:tcPr>
            <w:tcW w:type="dxa" w:w="3135"/>
          </w:tcPr>
          <w:p>
            <w:r>
              <w:t>10%</w:t>
            </w:r>
          </w:p>
        </w:tc>
      </w:tr>
      <w:tr>
        <w:tc>
          <w:tcPr>
            <w:tcW w:type="dxa" w:w="3135"/>
          </w:tcPr>
          <w:p>
            <w:r>
              <w:t>Trưởng nhóm</w:t>
            </w:r>
          </w:p>
        </w:tc>
        <w:tc>
          <w:tcPr>
            <w:tcW w:type="dxa" w:w="3135"/>
          </w:tcPr>
          <w:p>
            <w:r>
              <w:t>10%</w:t>
            </w:r>
          </w:p>
        </w:tc>
        <w:tc>
          <w:tcPr>
            <w:tcW w:type="dxa" w:w="3135"/>
          </w:tcPr>
          <w:p>
            <w:r>
              <w:t>15%</w:t>
            </w:r>
          </w:p>
        </w:tc>
      </w:tr>
      <w:tr>
        <w:tc>
          <w:tcPr>
            <w:tcW w:type="dxa" w:w="3135"/>
          </w:tcPr>
          <w:p>
            <w:r>
              <w:t>Quản lý</w:t>
            </w:r>
          </w:p>
        </w:tc>
        <w:tc>
          <w:tcPr>
            <w:tcW w:type="dxa" w:w="3135"/>
          </w:tcPr>
          <w:p>
            <w:r>
              <w:t>15%</w:t>
            </w:r>
          </w:p>
        </w:tc>
        <w:tc>
          <w:tcPr>
            <w:tcW w:type="dxa" w:w="3135"/>
          </w:tcPr>
          <w:p>
            <w:r>
              <w:t>20%</w:t>
            </w:r>
          </w:p>
        </w:tc>
      </w:tr>
      <w:tr>
        <w:tc>
          <w:tcPr>
            <w:tcW w:type="dxa" w:w="3135"/>
          </w:tcPr>
          <w:p>
            <w:r>
              <w:t>Giám đốc</w:t>
            </w:r>
          </w:p>
        </w:tc>
        <w:tc>
          <w:tcPr>
            <w:tcW w:type="dxa" w:w="3135"/>
          </w:tcPr>
          <w:p>
            <w:r>
              <w:t>20%</w:t>
            </w:r>
          </w:p>
        </w:tc>
        <w:tc>
          <w:tcPr>
            <w:tcW w:type="dxa" w:w="3135"/>
          </w:tcPr>
          <w:p>
            <w:r>
              <w:t>25%</w:t>
            </w:r>
          </w:p>
        </w:tc>
      </w:tr>
    </w:tbl>
    <w:p/>
    <w:p>
      <w:pPr>
        <w:pStyle w:val="ListBullet"/>
        <w:spacing w:after="60"/>
      </w:pPr>
      <w:r>
        <w:t>Mức tăng lương cụ thể sẽ phụ thuộc vào kết quả đánh giá KPI và thâm niên công tác của từng nhân viên.</w:t>
      </w:r>
    </w:p>
    <w:p>
      <w:pPr>
        <w:pStyle w:val="Heading2"/>
        <w:spacing w:before="200" w:after="80"/>
      </w:pPr>
      <w:r>
        <w:t>3.4. Quy trình phê duyệt</w:t>
      </w:r>
    </w:p>
    <w:p>
      <w:pPr>
        <w:pStyle w:val="ListBullet"/>
        <w:spacing w:after="60"/>
      </w:pPr>
      <w:r>
        <w:t>Sau khi nhận báo cáo từ các phòng ban, bộ phận nhân sự sẽ tổng hợp và lập danh sách đề xuất tăng lương.</w:t>
      </w:r>
    </w:p>
    <w:p>
      <w:pPr>
        <w:pStyle w:val="ListBullet"/>
        <w:spacing w:after="60"/>
      </w:pPr>
      <w:r>
        <w:t>Danh sách này sẽ được gửi cho quản lý trực tiếp để xem xét và phê duyệt.</w:t>
      </w:r>
    </w:p>
    <w:p>
      <w:pPr>
        <w:pStyle w:val="ListBullet"/>
        <w:spacing w:after="60"/>
      </w:pPr>
      <w:r>
        <w:t>Cuối cùng, Giám đốc sẽ có trách nhiệm phê duyệt danh sách tăng lương trước khi thông báo đến nhân viên.</w:t>
      </w:r>
    </w:p>
    <w:p>
      <w:pPr>
        <w:pStyle w:val="Heading2"/>
        <w:spacing w:before="200" w:after="80"/>
      </w:pPr>
      <w:r>
        <w:t>3.5. Thông báo kết quả</w:t>
      </w:r>
    </w:p>
    <w:p>
      <w:pPr>
        <w:pStyle w:val="ListBullet"/>
        <w:spacing w:after="60"/>
      </w:pPr>
      <w:r>
        <w:t>Sau khi hoàn tất quy trình phê duyệt, bộ phận nhân sự sẽ tiến hành thông báo kết quả đến từng nhân viên qua email.</w:t>
      </w:r>
    </w:p>
    <w:p>
      <w:pPr>
        <w:pStyle w:val="ListBullet"/>
        <w:spacing w:after="60"/>
      </w:pPr>
      <w:r>
        <w:t>Thông báo sẽ bao gồm mức lương mới, tỷ lệ tăng lương, và lý do điều chỉnh.</w:t>
      </w:r>
    </w:p>
    <w:p>
      <w:pPr>
        <w:pStyle w:val="ListBullet"/>
        <w:spacing w:after="60"/>
      </w:pPr>
      <w:r>
        <w:t>Nhân viên có thể yêu cầu giải thích thêm nếu có thắc mắc về kết quả xét lương.</w:t>
      </w:r>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VAI TRÒ/BỘ PHẬN</w:t>
            </w:r>
          </w:p>
        </w:tc>
        <w:tc>
          <w:tcPr>
            <w:tcW w:type="dxa" w:w="2351"/>
          </w:tcPr>
          <w:p>
            <w:r>
              <w:rPr>
                <w:b/>
              </w:rPr>
              <w:t>TRÁCH NHIỆM</w:t>
            </w:r>
          </w:p>
        </w:tc>
        <w:tc>
          <w:tcPr>
            <w:tcW w:type="dxa" w:w="2351"/>
          </w:tcPr>
          <w:p>
            <w:r>
              <w:rPr>
                <w:b/>
              </w:rPr>
            </w:r>
          </w:p>
        </w:tc>
        <w:tc>
          <w:tcPr>
            <w:tcW w:type="dxa" w:w="2351"/>
          </w:tcPr>
          <w:p>
            <w:r>
              <w:rPr>
                <w:b/>
              </w:rPr>
            </w:r>
          </w:p>
        </w:tc>
      </w:tr>
      <w:tr>
        <w:tc>
          <w:tcPr>
            <w:tcW w:type="dxa" w:w="2351"/>
          </w:tcPr>
          <w:p>
            <w:r>
              <w:t>Bộ phận nhân sự</w:t>
            </w:r>
          </w:p>
        </w:tc>
        <w:tc>
          <w:tcPr>
            <w:tcW w:type="dxa" w:w="2351"/>
          </w:tcPr>
          <w:p>
            <w:r>
              <w:t>1. Thu thập và tổng hợp dữ liệu từ các phòng ban về KPI và thâm niên.</w:t>
            </w:r>
          </w:p>
        </w:tc>
        <w:tc>
          <w:tcPr>
            <w:tcW w:type="dxa" w:w="2351"/>
          </w:tcPr>
          <w:p>
            <w:r>
              <w:t>2. Lập danh sách đề xuất tăng lương và gửi cho quản lý.</w:t>
            </w:r>
          </w:p>
        </w:tc>
        <w:tc>
          <w:tcPr>
            <w:tcW w:type="dxa" w:w="2351"/>
          </w:tcPr>
          <w:p>
            <w:r>
              <w:t>3. Thông báo kết quả tăng lương đến nhân viên.</w:t>
            </w:r>
          </w:p>
        </w:tc>
      </w:tr>
      <w:tr>
        <w:tc>
          <w:tcPr>
            <w:tcW w:type="dxa" w:w="2351"/>
          </w:tcPr>
          <w:p>
            <w:r>
              <w:t>Quản lý trực tiếp</w:t>
            </w:r>
          </w:p>
        </w:tc>
        <w:tc>
          <w:tcPr>
            <w:tcW w:type="dxa" w:w="2351"/>
          </w:tcPr>
          <w:p>
            <w:r>
              <w:t>1. Đánh giá hiệu suất làm việc của nhân viên dựa trên KPI.</w:t>
            </w:r>
          </w:p>
        </w:tc>
        <w:tc>
          <w:tcPr>
            <w:tcW w:type="dxa" w:w="2351"/>
          </w:tcPr>
          <w:p>
            <w:r>
              <w:t>2. Phê duyệt danh sách đề xuất tăng lương từ bộ phận nhân sự.</w:t>
            </w:r>
          </w:p>
        </w:tc>
        <w:tc>
          <w:tcPr>
            <w:tcW w:type="dxa" w:w="2351"/>
          </w:tcPr>
          <w:p>
            <w:r>
              <w:t>3. Thông báo cho nhân viên về kết quả đánh giá KPI.</w:t>
            </w:r>
          </w:p>
        </w:tc>
      </w:tr>
      <w:tr>
        <w:tc>
          <w:tcPr>
            <w:tcW w:type="dxa" w:w="2351"/>
          </w:tcPr>
          <w:p>
            <w:r>
              <w:t>Giám đốc</w:t>
            </w:r>
          </w:p>
        </w:tc>
        <w:tc>
          <w:tcPr>
            <w:tcW w:type="dxa" w:w="2351"/>
          </w:tcPr>
          <w:p>
            <w:r>
              <w:t>1. Phê duyệt danh sách tăng lương cuối cùng.</w:t>
            </w:r>
          </w:p>
        </w:tc>
        <w:tc>
          <w:tcPr>
            <w:tcW w:type="dxa" w:w="2351"/>
          </w:tcPr>
          <w:p>
            <w:r>
              <w:t>2. Đảm bảo quy trình xét duyệt được thực hiện minh bạch và công bằng.</w:t>
            </w:r>
          </w:p>
        </w:tc>
        <w:tc>
          <w:tcPr>
            <w:tcW w:type="dxa" w:w="2351"/>
          </w:tcPr>
          <w:p>
            <w:r>
              <w:t>3. Giải quyết các thắc mắc từ nhân viên liên quan đến tăng lương.</w:t>
            </w:r>
          </w:p>
        </w:tc>
      </w:tr>
      <w:tr>
        <w:tc>
          <w:tcPr>
            <w:tcW w:type="dxa" w:w="2351"/>
          </w:tcPr>
          <w:p>
            <w:r>
              <w:t>Nhân viên</w:t>
            </w:r>
          </w:p>
        </w:tc>
        <w:tc>
          <w:tcPr>
            <w:tcW w:type="dxa" w:w="2351"/>
          </w:tcPr>
          <w:p>
            <w:r>
              <w:t>1. Thực hiện công việc theo KPI đã đề ra.</w:t>
            </w:r>
          </w:p>
        </w:tc>
        <w:tc>
          <w:tcPr>
            <w:tcW w:type="dxa" w:w="2351"/>
          </w:tcPr>
          <w:p>
            <w:r>
              <w:t>2. Tham gia vào quá trình đánh giá  và cung cấp phản hồi nếu cần.</w:t>
            </w:r>
          </w:p>
        </w:tc>
        <w:tc>
          <w:tcPr>
            <w:tcW w:type="dxa" w:w="2351"/>
          </w:tcPr>
          <w:p>
            <w:r>
              <w:t>3. Theo dõi thông báo kết quả và thực hiện nghĩa vụ công việc.</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Không thực hiện KPI</w:t>
            </w:r>
          </w:p>
        </w:tc>
        <w:tc>
          <w:tcPr>
            <w:tcW w:type="dxa" w:w="2351"/>
          </w:tcPr>
          <w:p>
            <w:r>
              <w:t>1 lần</w:t>
            </w:r>
          </w:p>
        </w:tc>
        <w:tc>
          <w:tcPr>
            <w:tcW w:type="dxa" w:w="2351"/>
          </w:tcPr>
          <w:p>
            <w:r>
              <w:t>Cảnh cáo</w:t>
            </w:r>
          </w:p>
        </w:tc>
        <w:tc>
          <w:tcPr>
            <w:tcW w:type="dxa" w:w="2351"/>
          </w:tcPr>
          <w:p>
            <w:r>
              <w:t>500.000</w:t>
            </w:r>
          </w:p>
        </w:tc>
      </w:tr>
      <w:tr>
        <w:tc>
          <w:tcPr>
            <w:tcW w:type="dxa" w:w="2351"/>
          </w:tcPr>
          <w:p>
            <w:r>
              <w:t>Không nộp báo cáo đúng hạn</w:t>
            </w:r>
          </w:p>
        </w:tc>
        <w:tc>
          <w:tcPr>
            <w:tcW w:type="dxa" w:w="2351"/>
          </w:tcPr>
          <w:p>
            <w:r>
              <w:t>2 lần</w:t>
            </w:r>
          </w:p>
        </w:tc>
        <w:tc>
          <w:tcPr>
            <w:tcW w:type="dxa" w:w="2351"/>
          </w:tcPr>
          <w:p>
            <w:r>
              <w:t>Cảnh cáo và giảm 50% mức tăng lương</w:t>
            </w:r>
          </w:p>
        </w:tc>
        <w:tc>
          <w:tcPr>
            <w:tcW w:type="dxa" w:w="2351"/>
          </w:tcPr>
          <w:p>
            <w:r>
              <w:t>1.000.000</w:t>
            </w:r>
          </w:p>
        </w:tc>
      </w:tr>
      <w:tr>
        <w:tc>
          <w:tcPr>
            <w:tcW w:type="dxa" w:w="2351"/>
          </w:tcPr>
          <w:p>
            <w:r>
              <w:t>Giả mạo thông tin trong báo cáo</w:t>
            </w:r>
          </w:p>
        </w:tc>
        <w:tc>
          <w:tcPr>
            <w:tcW w:type="dxa" w:w="2351"/>
          </w:tcPr>
          <w:p>
            <w:r>
              <w:t>1 lần</w:t>
            </w:r>
          </w:p>
        </w:tc>
        <w:tc>
          <w:tcPr>
            <w:tcW w:type="dxa" w:w="2351"/>
          </w:tcPr>
          <w:p>
            <w:r>
              <w:t>Sa thải</w:t>
            </w:r>
          </w:p>
        </w:tc>
        <w:tc>
          <w:tcPr>
            <w:tcW w:type="dxa" w:w="2351"/>
          </w:tcPr>
          <w:p>
            <w:r>
              <w:t>5.000.000</w:t>
            </w:r>
          </w:p>
        </w:tc>
      </w:tr>
      <w:tr>
        <w:tc>
          <w:tcPr>
            <w:tcW w:type="dxa" w:w="2351"/>
          </w:tcPr>
          <w:p>
            <w:r>
              <w:t>Không tham gia đánh giá KPI</w:t>
            </w:r>
          </w:p>
        </w:tc>
        <w:tc>
          <w:tcPr>
            <w:tcW w:type="dxa" w:w="2351"/>
          </w:tcPr>
          <w:p>
            <w:r>
              <w:t>1 lần</w:t>
            </w:r>
          </w:p>
        </w:tc>
        <w:tc>
          <w:tcPr>
            <w:tcW w:type="dxa" w:w="2351"/>
          </w:tcPr>
          <w:p>
            <w:r>
              <w:t>Cảnh cáo</w:t>
            </w:r>
          </w:p>
        </w:tc>
        <w:tc>
          <w:tcPr>
            <w:tcW w:type="dxa" w:w="2351"/>
          </w:tcPr>
          <w:p>
            <w:r>
              <w:t>500.000</w:t>
            </w:r>
          </w:p>
        </w:tc>
      </w:tr>
    </w:tbl>
    <w:p/>
    <w:p>
      <w:pPr>
        <w:pStyle w:val="Heading1"/>
        <w:spacing w:before="280" w:after="120"/>
      </w:pPr>
      <w:r>
        <w:t>VI. ĐIỀU KHOẢN THI HÀNH</w:t>
      </w:r>
    </w:p>
    <w:p>
      <w:pPr>
        <w:spacing w:after="120"/>
      </w:pPr>
      <w:r>
        <w:t>Quy trình này có hiệu lực từ ngày 01 tháng 07 năm 2026. Các quy định trước đây về quy trình xét duyệt và thực hiện tăng lương sẽ bị bãi bỏ. Bộ phận nhân sự có trách nhiệm phổ biến quy trình này đến toàn bộ nhân viên trong công ty và tổ chức đào tạo nếu cần thiết. Mọi thay đổi, cập nhật hoặc sửa đổi quy trình này sẽ được thực hiện theo quy định của công ty và thông báo đến toàn bộ nhân viên trong thời gian sớm nhất.</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