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VSF/51_QC_THUONG_KPI_HIE</w:t>
      </w:r>
    </w:p>
    <w:p/>
    <w:p>
      <w:pPr>
        <w:jc w:val="center"/>
      </w:pPr>
      <w:r>
        <w:rPr>
          <w:b/>
          <w:sz w:val="28"/>
        </w:rPr>
        <w:t>QUY CHẾ THƯỞNG HIỆU SUẤT THEO KPI VÀ ĐÁNH GIÁ KẾT QUẢ</w:t>
      </w:r>
    </w:p>
    <w:p/>
    <w:p>
      <w:pPr>
        <w:pStyle w:val="Heading1"/>
        <w:spacing w:before="280" w:after="120"/>
      </w:pPr>
      <w:r>
        <w:t>I. PHẠM VI VÀ ĐỐI TƯỢNG ÁP DỤNG</w:t>
      </w:r>
    </w:p>
    <w:p>
      <w:pPr>
        <w:spacing w:after="120"/>
      </w:pPr>
      <w:r>
        <w:t>Quy chế thưởng hiệu suất theo KPI và đánh giá kết quả này được áp dụng cho toàn bộ nhân viên của Công ty TNHH Công nghệ VSF, bao gồm các phòng ban và bộ phận chức năng trong công ty. Thời gian áp dụng quy chế này bắt đầu từ ngày 01 tháng 07 năm 2026 và sẽ được thực hiện định kỳ theo chu kỳ KPI hàng quý và hàng năm. Đối tượng áp dụng bao gồm tất cả các nhân viên chính thức đang làm việc tại công ty, ngoại trừ các nhân viên đang trong thời gian thử việc và các vị trí lãnh đạo cao cấp có chế độ thưởng riêng. Quy chế này nhằm đảm bảo tính công bằng, minh bạch trong việc đánh giá hiệu suất lao động, từ đó khuyến khích nhân viên cống hiến và phát triển bản thân, góp phần vào sự phát triển bền vững của công ty.</w:t>
      </w:r>
    </w:p>
    <w:p>
      <w:pPr>
        <w:pStyle w:val="Heading1"/>
        <w:spacing w:before="280" w:after="120"/>
      </w:pPr>
      <w:r>
        <w:t>II. ĐỊNH NGHĨA VÀ GIẢI THÍCH THUẬT NGỮ</w:t>
      </w:r>
    </w:p>
    <w:p>
      <w:pPr>
        <w:pStyle w:val="ListNumber"/>
        <w:spacing w:after="60"/>
      </w:pPr>
      <w:r>
        <w:t>1. KPI (Key Performance Indicator): Chỉ số hiệu suất chính là các chỉ số định lượng và định tính được sử dụng để đo lường hiệu quả công việc của cá nhân hoặc tổ chức trong một khoảng thời gian nhất định.</w:t>
      </w:r>
    </w:p>
    <w:p>
      <w:pPr>
        <w:pStyle w:val="ListNumber"/>
        <w:spacing w:after="60"/>
      </w:pPr>
      <w:r>
        <w:t>2. OKR (Objectives and Key Results): Mục tiêu và kết quả then chốt là một phương pháp quản lý và thiết lập mục tiêu, trong đó mục tiêu được xác định rõ ràng và kết quả then chốt là các chỉ số đánh giá sự hoàn thành của mục tiêu đó.</w:t>
      </w:r>
    </w:p>
    <w:p>
      <w:pPr>
        <w:pStyle w:val="ListNumber"/>
        <w:spacing w:after="60"/>
      </w:pPr>
      <w:r>
        <w:t>3. Thang điểm đánh giá: Hệ thống phân loại mức độ hoàn thành công việc của nhân viên từ 1 đến 5, trong đó 1 là không đạt yêu cầu và 5 là xuất sắc, giúp công ty có cái nhìn tổng quan hơn về hiệu suất làm việc của nhân viên.</w:t>
      </w:r>
    </w:p>
    <w:p>
      <w:pPr>
        <w:pStyle w:val="ListNumber"/>
        <w:spacing w:after="60"/>
      </w:pPr>
      <w:r>
        <w:t>4. Công thức tính thưởng: Là phương pháp tính toán tiền thưởng dựa trên điểm số KPI của nhân viên, thường được xác định theo các mức thưởng khác nhau tùy theo cấp bậc và hiệu suất làm việc.</w:t>
      </w:r>
    </w:p>
    <w:p>
      <w:pPr>
        <w:pStyle w:val="ListNumber"/>
        <w:spacing w:after="60"/>
      </w:pPr>
      <w:r>
        <w:t>5. Quy trình phê duyệt: Là quy trình được thực hiện để xác nhận và phê duyệt kết quả đánh giá KPI, đảm bảo sự công bằng và minh bạch trong quá trình thưởng của công ty.</w:t>
      </w:r>
    </w:p>
    <w:p>
      <w:pPr>
        <w:pStyle w:val="ListNumber"/>
        <w:spacing w:after="60"/>
      </w:pPr>
      <w:r>
        <w:t>6. Mức thưởng theo cấp bậc: Là tỷ lệ thưởng khác nhau được áp dụng cho từng cấp bậc của nhân viên, thường được xác định trước và công bố công khai trong quy chế thưởng của công ty.</w:t>
      </w:r>
    </w:p>
    <w:p>
      <w:pPr>
        <w:pStyle w:val="Heading1"/>
        <w:spacing w:before="280" w:after="120"/>
      </w:pPr>
      <w:r>
        <w:t>III. NỘI DUNG QUY ĐỊNH / QUY TRÌNH CHI TIẾT</w:t>
      </w:r>
    </w:p>
    <w:p>
      <w:pPr>
        <w:pStyle w:val="Heading2"/>
        <w:spacing w:before="200" w:after="80"/>
      </w:pPr>
      <w:r>
        <w:t>3.1. Thiết lập KPI cho từng cấp</w:t>
      </w:r>
    </w:p>
    <w:p>
      <w:pPr>
        <w:pStyle w:val="ListBullet"/>
        <w:spacing w:after="60"/>
      </w:pPr>
      <w:r>
        <w:t>Mỗi bộ phận sẽ có trách nhiệm xây dựng và đề xuất các chỉ số KPI phù hợp với mục tiêu chung của công ty.</w:t>
      </w:r>
    </w:p>
    <w:p>
      <w:pPr>
        <w:pStyle w:val="ListBullet"/>
        <w:spacing w:after="60"/>
      </w:pPr>
      <w:r>
        <w:t>Các KPI phải được phê duyệt bởi Ban Giám đốc và phải đảm bảo tính khả thi, đo lường được và có liên quan đến công việc của từng vị trí.</w:t>
      </w:r>
    </w:p>
    <w:p>
      <w:pPr>
        <w:pStyle w:val="ListBullet"/>
        <w:spacing w:after="60"/>
      </w:pPr>
      <w:r>
        <w:t>Thời gian thiết lập KPI sẽ được thực hiện vào đầu mỗi quý và đánh giá lại vào cuối quý.</w:t>
      </w:r>
    </w:p>
    <w:p>
      <w:pPr>
        <w:pStyle w:val="Heading2"/>
        <w:spacing w:before="200" w:after="80"/>
      </w:pPr>
      <w:r>
        <w:t>3.2. Đánh giá kết quả KPI</w:t>
      </w:r>
    </w:p>
    <w:p>
      <w:pPr>
        <w:pStyle w:val="ListBullet"/>
        <w:spacing w:after="60"/>
      </w:pPr>
      <w:r>
        <w:t>Đánh giá sẽ được thực hiện hàng quý, dựa trên thang điểm từ 1 đến 5, phản ánh mức độ hoàn thành KPI của nhân viên.</w:t>
      </w:r>
    </w:p>
    <w:p>
      <w:pPr>
        <w:pStyle w:val="ListBullet"/>
        <w:spacing w:after="60"/>
      </w:pPr>
      <w:r>
        <w:t>Nhân viên sẽ tự đánh giá mình trước, sau đó sẽ có buổi đánh giá cùng với trưởng bộ phận để xác định điểm số chính thức.</w:t>
      </w:r>
    </w:p>
    <w:p>
      <w:pPr>
        <w:pStyle w:val="ListBullet"/>
        <w:spacing w:after="60"/>
      </w:pPr>
      <w:r>
        <w:t>Kết quả đánh giá sẽ được ghi nhận và lưu trữ trong hệ thống quản lý nhân sự của công ty.</w:t>
      </w:r>
    </w:p>
    <w:p>
      <w:pPr>
        <w:pStyle w:val="Heading2"/>
        <w:spacing w:before="200" w:after="80"/>
      </w:pPr>
      <w:r>
        <w:t>3.3. Công thức tính thưởng</w:t>
      </w:r>
    </w:p>
    <w:p>
      <w:pPr>
        <w:pStyle w:val="ListBullet"/>
        <w:spacing w:after="60"/>
      </w:pPr>
      <w:r>
        <w:t>Mức thưởng sẽ được tính theo công thức: Thưởng = (Điểm KPI/5) x Mức thưởng tối đa theo cấp bậc.</w:t>
      </w:r>
    </w:p>
    <w:p>
      <w:pPr>
        <w:pStyle w:val="ListBullet"/>
        <w:spacing w:after="60"/>
      </w:pPr>
      <w:r>
        <w:t>Mức thưởng tối đa cho từng cấp bậc sẽ được quy định cụ thể trong bảng dưới đây: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CẤP BẬC</w:t>
            </w:r>
          </w:p>
        </w:tc>
        <w:tc>
          <w:tcPr>
            <w:tcW w:type="dxa" w:w="3135"/>
          </w:tcPr>
          <w:p>
            <w:r>
              <w:rPr>
                <w:b/>
              </w:rPr>
              <w:t>MỨC THƯỞNG TỐI ĐA (VNĐ)</w:t>
            </w:r>
          </w:p>
        </w:tc>
        <w:tc>
          <w:tcPr>
            <w:tcW w:type="dxa" w:w="3135"/>
          </w:tcPr>
          <w:p>
            <w:r>
              <w:rPr>
                <w:b/>
              </w:rPr>
              <w:t>MÔ TẢ</w:t>
            </w:r>
          </w:p>
        </w:tc>
      </w:tr>
      <w:tr>
        <w:tc>
          <w:tcPr>
            <w:tcW w:type="dxa" w:w="3135"/>
          </w:tcPr>
          <w:p>
            <w:r>
              <w:t>Nhân viên</w:t>
            </w:r>
          </w:p>
        </w:tc>
        <w:tc>
          <w:tcPr>
            <w:tcW w:type="dxa" w:w="3135"/>
          </w:tcPr>
          <w:p>
            <w:r>
              <w:t>3,000,000</w:t>
            </w:r>
          </w:p>
        </w:tc>
        <w:tc>
          <w:tcPr>
            <w:tcW w:type="dxa" w:w="3135"/>
          </w:tcPr>
          <w:p>
            <w:r>
              <w:t>Thưởng cho nhân viên hoàn thành KPI</w:t>
            </w:r>
          </w:p>
        </w:tc>
      </w:tr>
      <w:tr>
        <w:tc>
          <w:tcPr>
            <w:tcW w:type="dxa" w:w="3135"/>
          </w:tcPr>
          <w:p>
            <w:r>
              <w:t>Trưởng phòng</w:t>
            </w:r>
          </w:p>
        </w:tc>
        <w:tc>
          <w:tcPr>
            <w:tcW w:type="dxa" w:w="3135"/>
          </w:tcPr>
          <w:p>
            <w:r>
              <w:t>5,000,000</w:t>
            </w:r>
          </w:p>
        </w:tc>
        <w:tc>
          <w:tcPr>
            <w:tcW w:type="dxa" w:w="3135"/>
          </w:tcPr>
          <w:p>
            <w:r>
              <w:t>Thưởng cho trưởng phòng đạt KPI xuất sắc</w:t>
            </w:r>
          </w:p>
        </w:tc>
      </w:tr>
      <w:tr>
        <w:tc>
          <w:tcPr>
            <w:tcW w:type="dxa" w:w="3135"/>
          </w:tcPr>
          <w:p>
            <w:r>
              <w:t>Giám đốc bộ phận</w:t>
            </w:r>
          </w:p>
        </w:tc>
        <w:tc>
          <w:tcPr>
            <w:tcW w:type="dxa" w:w="3135"/>
          </w:tcPr>
          <w:p>
            <w:r>
              <w:t>7,000,000</w:t>
            </w:r>
          </w:p>
        </w:tc>
        <w:tc>
          <w:tcPr>
            <w:tcW w:type="dxa" w:w="3135"/>
          </w:tcPr>
          <w:p>
            <w:r>
              <w:t>Thưởng cho giám đốc bộ phận đạt KPI xuất sắc</w:t>
            </w:r>
          </w:p>
        </w:tc>
      </w:tr>
      <w:tr>
        <w:tc>
          <w:tcPr>
            <w:tcW w:type="dxa" w:w="3135"/>
          </w:tcPr>
          <w:p>
            <w:r>
              <w:t>Lãnh đạo cao cấp</w:t>
            </w:r>
          </w:p>
        </w:tc>
        <w:tc>
          <w:tcPr>
            <w:tcW w:type="dxa" w:w="3135"/>
          </w:tcPr>
          <w:p>
            <w:r>
              <w:t>10,000,000</w:t>
            </w:r>
          </w:p>
        </w:tc>
        <w:tc>
          <w:tcPr>
            <w:tcW w:type="dxa" w:w="3135"/>
          </w:tcPr>
          <w:p>
            <w:r>
              <w:t>Thưởng cho lãnh đạo có đóng góp vượt bậc</w:t>
            </w:r>
          </w:p>
        </w:tc>
      </w:tr>
    </w:tbl>
    <w:p/>
    <w:p>
      <w:pPr>
        <w:pStyle w:val="ListBullet"/>
        <w:spacing w:after="60"/>
      </w:pPr>
      <w:r>
        <w:t>Mức thưởng cụ thể cho mỗi nhân viên sẽ được xác định dựa trên điểm số KPI và mức thưởng tối đa theo cấp bậc.</w:t>
      </w:r>
    </w:p>
    <w:p>
      <w:pPr>
        <w:pStyle w:val="Heading2"/>
        <w:spacing w:before="200" w:after="80"/>
      </w:pPr>
      <w:r>
        <w:t>3.4. Quy trình phê duyệt thưởng</w:t>
      </w:r>
    </w:p>
    <w:p>
      <w:pPr>
        <w:pStyle w:val="ListBullet"/>
        <w:spacing w:after="60"/>
      </w:pPr>
      <w:r>
        <w:t>Sau khi có kết quả đánh giá, trưởng bộ phận sẽ gửi kết quả về Ban Giám đốc để phê duyệt.</w:t>
      </w:r>
    </w:p>
    <w:p>
      <w:pPr>
        <w:pStyle w:val="ListBullet"/>
        <w:spacing w:after="60"/>
      </w:pPr>
      <w:r>
        <w:t>Ban Giám đốc có trách nhiệm xem xét và phê duyệt kết quả thưởng trong vòng 5 ngày làm việc.</w:t>
      </w:r>
    </w:p>
    <w:p>
      <w:pPr>
        <w:pStyle w:val="ListBullet"/>
        <w:spacing w:after="60"/>
      </w:pPr>
      <w:r>
        <w:t>Kết quả phê duyệt sẽ được công bố công khai cho toàn bộ nhân viên trong công ty.</w:t>
      </w:r>
    </w:p>
    <w:p>
      <w:pPr>
        <w:pStyle w:val="Heading2"/>
        <w:spacing w:before="200" w:after="80"/>
      </w:pPr>
      <w:r>
        <w:t>3.5. Thời điểm chi trả thưởng</w:t>
      </w:r>
    </w:p>
    <w:p>
      <w:pPr>
        <w:pStyle w:val="ListBullet"/>
        <w:spacing w:after="60"/>
      </w:pPr>
      <w:r>
        <w:t>Thưởng sẽ được chi trả vào ngày 15 của tháng tiếp theo sau khi kết thúc quý.</w:t>
      </w:r>
    </w:p>
    <w:p>
      <w:pPr>
        <w:pStyle w:val="ListBullet"/>
        <w:spacing w:after="60"/>
      </w:pPr>
      <w:r>
        <w:t>Trong trường hợp có sự thay đổi về thời gian chi trả thưởng, Ban Giám đốc sẽ thông báo cho nhân viên trước ít nhất 3 ngày.</w:t>
      </w:r>
    </w:p>
    <w:p>
      <w:pPr>
        <w:pStyle w:val="ListBullet"/>
        <w:spacing w:after="60"/>
      </w:pPr>
      <w:r>
        <w:t>Mọi nhân viên đều có quyền yêu cầu giải thích về kết quả đánh giá và chi trả thưởng nếu có thắc mắc.</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Phòng Nhân sự</w:t>
            </w:r>
          </w:p>
        </w:tc>
        <w:tc>
          <w:tcPr>
            <w:tcW w:type="dxa" w:w="4702"/>
          </w:tcPr>
          <w:p>
            <w:r>
              <w:t>1. Theo dõi và quản lý hệ thống KPI. 2. Phối hợp với các bộ phận thiết lập KPI. 3. Đảm bảo quy trình đánh giá được thực hiện công bằng.</w:t>
            </w:r>
          </w:p>
        </w:tc>
      </w:tr>
      <w:tr>
        <w:tc>
          <w:tcPr>
            <w:tcW w:type="dxa" w:w="4702"/>
          </w:tcPr>
          <w:p>
            <w:r>
              <w:t>Trưởng phòng</w:t>
            </w:r>
          </w:p>
        </w:tc>
        <w:tc>
          <w:tcPr>
            <w:tcW w:type="dxa" w:w="4702"/>
          </w:tcPr>
          <w:p>
            <w:r>
              <w:t>1. Đánh giá KPI cho nhân viên trong bộ phận. 2. Đề xuất KPI cho bộ phận mình. 3. Tham gia vào quy trình phê duyệt thưởng.</w:t>
            </w:r>
          </w:p>
        </w:tc>
      </w:tr>
      <w:tr>
        <w:tc>
          <w:tcPr>
            <w:tcW w:type="dxa" w:w="4702"/>
          </w:tcPr>
          <w:p>
            <w:r>
              <w:t>Ban Giám đốc</w:t>
            </w:r>
          </w:p>
        </w:tc>
        <w:tc>
          <w:tcPr>
            <w:tcW w:type="dxa" w:w="4702"/>
          </w:tcPr>
          <w:p>
            <w:r>
              <w:t>1. Phê duyệt KPI và kết quả đánh giá. 2. Đảm bảo tính minh bạch trong quy trình thưởng. 3. Xem xét và giải quyết khiếu nại liên quan đến thưởng.</w:t>
            </w:r>
          </w:p>
        </w:tc>
      </w:tr>
      <w:tr>
        <w:tc>
          <w:tcPr>
            <w:tcW w:type="dxa" w:w="4702"/>
          </w:tcPr>
          <w:p>
            <w:r>
              <w:t>Nhân viên</w:t>
            </w:r>
          </w:p>
        </w:tc>
        <w:tc>
          <w:tcPr>
            <w:tcW w:type="dxa" w:w="4702"/>
          </w:tcPr>
          <w:p>
            <w:r>
              <w:t>1. Thực hiện KPI được giao. 2. Tự đánh giá kết quả công việc của mình. 3. Tham gia vào quy trình đánh giá KPI.</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1</w:t>
            </w:r>
          </w:p>
        </w:tc>
        <w:tc>
          <w:tcPr>
            <w:tcW w:type="dxa" w:w="1881"/>
          </w:tcPr>
          <w:p>
            <w:r>
              <w:t>Không hoàn thành KPI</w:t>
            </w:r>
          </w:p>
        </w:tc>
        <w:tc>
          <w:tcPr>
            <w:tcW w:type="dxa" w:w="1881"/>
          </w:tcPr>
          <w:p>
            <w:r>
              <w:t>1 lần</w:t>
            </w:r>
          </w:p>
        </w:tc>
        <w:tc>
          <w:tcPr>
            <w:tcW w:type="dxa" w:w="1881"/>
          </w:tcPr>
          <w:p>
            <w:r>
              <w:t>Cảnh cáo</w:t>
            </w:r>
          </w:p>
        </w:tc>
        <w:tc>
          <w:tcPr>
            <w:tcW w:type="dxa" w:w="1881"/>
          </w:tcPr>
          <w:p>
            <w:r>
              <w:t>500,000</w:t>
            </w:r>
          </w:p>
        </w:tc>
      </w:tr>
      <w:tr>
        <w:tc>
          <w:tcPr>
            <w:tcW w:type="dxa" w:w="1881"/>
          </w:tcPr>
          <w:p>
            <w:r>
              <w:t>2</w:t>
            </w:r>
          </w:p>
        </w:tc>
        <w:tc>
          <w:tcPr>
            <w:tcW w:type="dxa" w:w="1881"/>
          </w:tcPr>
          <w:p>
            <w:r>
              <w:t>Vi phạm quy trình đánh giá</w:t>
            </w:r>
          </w:p>
        </w:tc>
        <w:tc>
          <w:tcPr>
            <w:tcW w:type="dxa" w:w="1881"/>
          </w:tcPr>
          <w:p>
            <w:r>
              <w:t>2 lần</w:t>
            </w:r>
          </w:p>
        </w:tc>
        <w:tc>
          <w:tcPr>
            <w:tcW w:type="dxa" w:w="1881"/>
          </w:tcPr>
          <w:p>
            <w:r>
              <w:t>Cắt giảm thưởng</w:t>
            </w:r>
          </w:p>
        </w:tc>
        <w:tc>
          <w:tcPr>
            <w:tcW w:type="dxa" w:w="1881"/>
          </w:tcPr>
          <w:p>
            <w:r>
              <w:t>1,000,000</w:t>
            </w:r>
          </w:p>
        </w:tc>
      </w:tr>
      <w:tr>
        <w:tc>
          <w:tcPr>
            <w:tcW w:type="dxa" w:w="1881"/>
          </w:tcPr>
          <w:p>
            <w:r>
              <w:t>3</w:t>
            </w:r>
          </w:p>
        </w:tc>
        <w:tc>
          <w:tcPr>
            <w:tcW w:type="dxa" w:w="1881"/>
          </w:tcPr>
          <w:p>
            <w:r>
              <w:t>Thông tin sai lệch trong báo cáo</w:t>
            </w:r>
          </w:p>
        </w:tc>
        <w:tc>
          <w:tcPr>
            <w:tcW w:type="dxa" w:w="1881"/>
          </w:tcPr>
          <w:p>
            <w:r>
              <w:t>1 lần</w:t>
            </w:r>
          </w:p>
        </w:tc>
        <w:tc>
          <w:tcPr>
            <w:tcW w:type="dxa" w:w="1881"/>
          </w:tcPr>
          <w:p>
            <w:r>
              <w:t>Cảnh cáo</w:t>
            </w:r>
          </w:p>
        </w:tc>
        <w:tc>
          <w:tcPr>
            <w:tcW w:type="dxa" w:w="1881"/>
          </w:tcPr>
          <w:p>
            <w:r>
              <w:t>1,500,000</w:t>
            </w:r>
          </w:p>
        </w:tc>
      </w:tr>
      <w:tr>
        <w:tc>
          <w:tcPr>
            <w:tcW w:type="dxa" w:w="1881"/>
          </w:tcPr>
          <w:p>
            <w:r>
              <w:t>4</w:t>
            </w:r>
          </w:p>
        </w:tc>
        <w:tc>
          <w:tcPr>
            <w:tcW w:type="dxa" w:w="1881"/>
          </w:tcPr>
          <w:p>
            <w:r>
              <w:t>Không tham gia đánh giá</w:t>
            </w:r>
          </w:p>
        </w:tc>
        <w:tc>
          <w:tcPr>
            <w:tcW w:type="dxa" w:w="1881"/>
          </w:tcPr>
          <w:p>
            <w:r>
              <w:t>1 lần</w:t>
            </w:r>
          </w:p>
        </w:tc>
        <w:tc>
          <w:tcPr>
            <w:tcW w:type="dxa" w:w="1881"/>
          </w:tcPr>
          <w:p>
            <w:r>
              <w:t>Cắt giảm 50% thưởng</w:t>
            </w:r>
          </w:p>
        </w:tc>
        <w:tc>
          <w:tcPr>
            <w:tcW w:type="dxa" w:w="1881"/>
          </w:tcPr>
          <w:p>
            <w:r>
              <w:t>2,000,000</w:t>
            </w:r>
          </w:p>
        </w:tc>
      </w:tr>
    </w:tbl>
    <w:p/>
    <w:p>
      <w:pPr>
        <w:pStyle w:val="Heading1"/>
        <w:spacing w:before="280" w:after="120"/>
      </w:pPr>
      <w:r>
        <w:t>VI. ĐIỀU KHOẢN THI HÀNH</w:t>
      </w:r>
    </w:p>
    <w:p>
      <w:pPr>
        <w:spacing w:after="120"/>
      </w:pPr>
      <w:r>
        <w:t>Quy chế thưởng hiệu suất theo KPI và đánh giá kết quả này có hiệu lực từ ngày 01 tháng 07 năm 2026. Quy chế này sẽ bãi bỏ tất cả các quy định, quy chế cũ liên quan đến thưởng và đánh giá hiệu suất lao động. Trách nhiệm phổ biến văn bản này thuộc về Phòng Nhân sự, đảm bảo mọi nhân viên đều được thông báo và hiểu rõ quy chế. Mọi thay đổi hoặc cập nhật quy chế sẽ được thực hiện theo quy trình thông báo và nhận phản hồi từ nhân viên trong công ty.</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