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VSF/53_QD_CHE_DO_HIEU_HY</w:t>
      </w:r>
    </w:p>
    <w:p/>
    <w:p>
      <w:pPr>
        <w:jc w:val="center"/>
      </w:pPr>
      <w:r>
        <w:rPr>
          <w:b/>
          <w:sz w:val="28"/>
        </w:rPr>
        <w:t>QUY ĐỊNH CHẾ ĐỘ HIẾU HỶ, SINH NHẬT, THĂM ỐM VÀ HỖ TRỢ NHÂN VIÊN</w:t>
      </w:r>
    </w:p>
    <w:p/>
    <w:p>
      <w:pPr>
        <w:pStyle w:val="Heading1"/>
        <w:spacing w:before="280" w:after="120"/>
      </w:pPr>
      <w:r>
        <w:t>I. PHẠM VI VÀ ĐỐI TƯỢNG ÁP DỤNG</w:t>
      </w:r>
    </w:p>
    <w:p>
      <w:pPr>
        <w:spacing w:after="120"/>
      </w:pPr>
      <w:r>
        <w:t>Quy định này áp dụng cho toàn bộ nhân viên làm việc tại Công ty TNHH Công nghệ VSF, bao gồm cả nhân viên chính thức, hợp đồng dài hạn và nhân viên thử việc. Phạm vi áp dụng được xác định trên toàn bộ các chi nhánh, văn phòng của công ty tại Việt Nam. Thời gian áp dụng quy định này bắt đầu từ ngày 01 tháng 07 năm 2026 cho đến khi có thông báo thay đổi hoặc bãi bỏ. Các đối tượng ngoại lệ bao gồm những nhân viên đã nghỉ việc, nhân viên thuộc diện kỷ luật hoặc những trường hợp đặc biệt khác theo quy định của công ty. Việc quy định rõ ràng về chế độ hiếu hỷ, sinh nhật, thăm ốm và hỗ trợ sẽ góp phần nâng cao đời sống tinh thần và tạo điều kiện thuận lợi cho nhân viên trong công việc cũng như cuộc sống cá nhân.</w:t>
      </w:r>
    </w:p>
    <w:p>
      <w:pPr>
        <w:pStyle w:val="Heading1"/>
        <w:spacing w:before="280" w:after="120"/>
      </w:pPr>
      <w:r>
        <w:t>II. ĐỊNH NGHĨA VÀ GIẢI THÍCH THUẬT NGỮ</w:t>
      </w:r>
    </w:p>
    <w:p>
      <w:pPr>
        <w:pStyle w:val="ListNumber"/>
        <w:spacing w:after="60"/>
      </w:pPr>
      <w:r>
        <w:t>1. Hiếu hỷ: Là những sự kiện quan trọng trong đời sống cá nhân của nhân viên như tang lễ, cưới hỏi, mà công ty có trách nhiệm thể hiện sự chia sẻ, động viên đến nhân viên hoặc người thân của họ.</w:t>
      </w:r>
    </w:p>
    <w:p>
      <w:pPr>
        <w:pStyle w:val="ListNumber"/>
        <w:spacing w:after="60"/>
      </w:pPr>
      <w:r>
        <w:t>2. Sinh nhật: Là ngày kỷ niệm ngày sinh của nhân viên, được ghi nhận và công ty sẽ có chế độ quà tặng hoặc hỗ trợ cho nhân viên vào dịp này.</w:t>
      </w:r>
    </w:p>
    <w:p>
      <w:pPr>
        <w:pStyle w:val="ListNumber"/>
        <w:spacing w:after="60"/>
      </w:pPr>
      <w:r>
        <w:t>3. Thăm ốm: Là hành động thể hiện sự quan tâm của công ty đến sức khỏe của nhân viên hoặc người thân của nhân viên khi họ gặp phải tình trạng bệnh tật, ốm đau.</w:t>
      </w:r>
    </w:p>
    <w:p>
      <w:pPr>
        <w:pStyle w:val="ListNumber"/>
        <w:spacing w:after="60"/>
      </w:pPr>
      <w:r>
        <w:t>4. Hỗ trợ: Là các khoản tiền hoặc quà tặng mà công ty dành cho nhân viên trong các sự kiện hiếu hỷ, sinh nhật, thăm ốm nhằm thể hiện tinh thần đoàn kết và chia sẻ.</w:t>
      </w:r>
    </w:p>
    <w:p>
      <w:pPr>
        <w:pStyle w:val="ListNumber"/>
        <w:spacing w:after="60"/>
      </w:pPr>
      <w:r>
        <w:t>5. Quỹ Công đoàn: Là quỹ tài chính được hình thành từ sự đóng góp của nhân viên và sự hỗ trợ của công ty, nhằm phục vụ cho các hoạt động phúc lợi, hỗ trợ nhân viên trong các trường hợp hiếu hỷ, sinh nhật, thăm ốm.</w:t>
      </w:r>
    </w:p>
    <w:p>
      <w:pPr>
        <w:pStyle w:val="ListNumber"/>
        <w:spacing w:after="60"/>
      </w:pPr>
      <w:r>
        <w:t>6. Quy trình đề xuất chi: Là các bước mà nhân viên phải thực hiện để đề xuất các khoản chi từ quỹ Công đoàn hoặc ngân sách hàng năm của công ty cho các sự kiện hiếu hỷ, sinh nhật hoặc thăm ốm.</w:t>
      </w:r>
    </w:p>
    <w:p>
      <w:pPr>
        <w:pStyle w:val="Heading1"/>
        <w:spacing w:before="280" w:after="120"/>
      </w:pPr>
      <w:r>
        <w:t>III. NỘI DUNG QUY ĐỊNH / QUY TRÌNH CHI TIẾT</w:t>
      </w:r>
    </w:p>
    <w:p>
      <w:pPr>
        <w:pStyle w:val="Heading2"/>
        <w:spacing w:before="200" w:after="80"/>
      </w:pPr>
      <w:r>
        <w:t>3.1. Chế độ hiếu hỷ</w:t>
      </w:r>
    </w:p>
    <w:p>
      <w:pPr>
        <w:pStyle w:val="ListBullet"/>
        <w:spacing w:after="60"/>
      </w:pPr>
      <w:r>
        <w:t>Trường hợp tang lễ: Công ty sẽ hỗ trợ 5 triệu VNĐ cho nhân viên có cha, mẹ, vợ, chồng, con qua đời. Trong trường hợp có người thân khác mất, mức hỗ trợ sẽ được xem xét theo từng trường hợp cụ thể.</w:t>
      </w:r>
    </w:p>
    <w:p>
      <w:pPr>
        <w:pStyle w:val="ListBullet"/>
        <w:spacing w:after="60"/>
      </w:pPr>
      <w:r>
        <w:t>Trường hợp cưới hỏi: Công ty sẽ tặng quà trị giá 2 triệu VNĐ cho nhân viên trong trường hợp tổ chức đám cưới.</w:t>
      </w:r>
    </w:p>
    <w:p>
      <w:pPr>
        <w:pStyle w:val="ListBullet"/>
        <w:spacing w:after="60"/>
      </w:pPr>
      <w:r>
        <w:t>Quy trình đề xuất chi: Nhân viên cần điền vào mẫu đề xuất chi từ quỹ Công đoàn và gửi cho trưởng phòng nhân sự để được phê duyệt.</w:t>
      </w:r>
    </w:p>
    <w:p>
      <w:pPr>
        <w:pStyle w:val="Heading2"/>
        <w:spacing w:before="200" w:after="80"/>
      </w:pPr>
      <w:r>
        <w:t>3.2. Chế độ sinh nhật</w:t>
      </w:r>
    </w:p>
    <w:p>
      <w:pPr>
        <w:pStyle w:val="ListBullet"/>
        <w:spacing w:after="60"/>
      </w:pPr>
      <w:r>
        <w:t>Quà sinh nhật: Nhân viên sẽ nhận quà sinh nhật trị giá 500.000 VNĐ từ công ty vào tháng sinh của mình.</w:t>
      </w:r>
    </w:p>
    <w:p>
      <w:pPr>
        <w:pStyle w:val="ListBullet"/>
        <w:spacing w:after="60"/>
      </w:pPr>
      <w:r>
        <w:t>Thông báo sinh nhật: Phòng nhân sự có trách nhiệm thông báo danh sách nhân viên có sinh nhật trong tháng để tổ chức buổi lễ mừng sinh nhật.</w:t>
      </w:r>
    </w:p>
    <w:p>
      <w:pPr>
        <w:pStyle w:val="ListBullet"/>
        <w:spacing w:after="60"/>
      </w:pPr>
      <w:r>
        <w:t>Quy trình nhận quà: Nhân viên sẽ nhận quà tại văn phòng nhân sự trong ngày sinh nhật của mình.</w:t>
      </w:r>
    </w:p>
    <w:p>
      <w:pPr>
        <w:pStyle w:val="Heading2"/>
        <w:spacing w:before="200" w:after="80"/>
      </w:pPr>
      <w:r>
        <w:t>3.3. Chế độ thăm ốm</w:t>
      </w:r>
    </w:p>
    <w:p>
      <w:pPr>
        <w:pStyle w:val="ListBullet"/>
        <w:spacing w:after="60"/>
      </w:pPr>
      <w:r>
        <w:t>Hỗ trợ thăm ốm: Công ty sẽ tặng quà trị giá 1 triệu VNĐ cho nhân viên hoặc người thân của nhân viên khi phải nằm viện trên 3 ngày.</w:t>
      </w:r>
    </w:p>
    <w:p>
      <w:pPr>
        <w:pStyle w:val="ListBullet"/>
        <w:spacing w:after="60"/>
      </w:pPr>
      <w:r>
        <w:t>Thông báo tình trạng ốm: Nhân viên cần thông báo cho trưởng phòng và phòng nhân sự về tình trạng ốm của bản thân hoặc người thân để được hỗ trợ kịp thời.</w:t>
      </w:r>
    </w:p>
    <w:p>
      <w:pPr>
        <w:pStyle w:val="ListBullet"/>
        <w:spacing w:after="60"/>
      </w:pPr>
      <w:r>
        <w:t>Quy trình nhận hỗ trợ: Nhân viên cần điền vào mẫu đề xuất chi và gửi cho phòng nhân sự kèm theo giấy tờ xác nhận tình trạng ốm.</w:t>
      </w:r>
    </w:p>
    <w:p>
      <w:pPr>
        <w:pStyle w:val="Heading2"/>
        <w:spacing w:before="200" w:after="80"/>
      </w:pPr>
      <w:r>
        <w:t>3.4. Ngân sách hỗ trợ</w:t>
      </w:r>
    </w:p>
    <w:p>
      <w:pPr>
        <w:pStyle w:val="ListBullet"/>
        <w:spacing w:after="60"/>
      </w:pPr>
      <w:r>
        <w:t>Ngân sách hàng năm: Công ty sẽ lập ngân sách hàng năm cho các khoản hỗ trợ hiếu hỷ, sinh nhật và thăm ốm, đảm bảo đủ kinh phí cho các hoạt động này.</w:t>
      </w:r>
    </w:p>
    <w:p>
      <w:pPr>
        <w:pStyle w:val="ListBullet"/>
        <w:spacing w:after="60"/>
      </w:pPr>
      <w:r>
        <w:t>Phân bổ ngân sách: Ngân sách sẽ được phân bổ dựa trên số lượng nhân viên và các sự kiện xảy ra trong năm.</w:t>
      </w:r>
    </w:p>
    <w:p>
      <w:pPr>
        <w:pStyle w:val="ListBullet"/>
        <w:spacing w:after="60"/>
      </w:pPr>
      <w:r>
        <w:t>Báo cáo ngân sách: Phòng tài chính có trách nhiệm báo cáo tình hình chi tiêu cho các khoản hỗ trợ định kỳ hàng quý.</w:t>
      </w:r>
    </w:p>
    <w:p>
      <w:pPr>
        <w:pStyle w:val="Heading2"/>
        <w:spacing w:before="200" w:after="80"/>
      </w:pPr>
      <w:r>
        <w:t>3.5. Đánh giá và điều chỉnh chính sách</w:t>
      </w:r>
    </w:p>
    <w:p>
      <w:pPr>
        <w:pStyle w:val="ListBullet"/>
        <w:spacing w:after="60"/>
      </w:pPr>
      <w:r>
        <w:t>Đánh giá định kỳ: Chính sách này sẽ được đánh giá định kỳ hàng năm để đảm bảo tính hợp lý và phù hợp với nhu cầu của nhân viên.</w:t>
      </w:r>
    </w:p>
    <w:p>
      <w:pPr>
        <w:pStyle w:val="ListBullet"/>
        <w:spacing w:after="60"/>
      </w:pPr>
      <w:r>
        <w:t>Đề xuất điều chỉnh: Nhân viên có thể đề xuất các thay đổi hoặc điều chỉnh chính sách thông qua đại diện Công đoàn.</w:t>
      </w:r>
    </w:p>
    <w:p>
      <w:pPr>
        <w:pStyle w:val="ListBullet"/>
        <w:spacing w:after="60"/>
      </w:pPr>
      <w:r>
        <w:t>Quy trình cập nhật: Mọi thay đổi sẽ được thông báo đến toàn bộ nhân viên thông qua các kênh truyền thông nội bộ của công ty.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HỖ TRỢ</w:t>
            </w:r>
          </w:p>
        </w:tc>
        <w:tc>
          <w:tcPr>
            <w:tcW w:type="dxa" w:w="3135"/>
          </w:tcPr>
          <w:p>
            <w:r>
              <w:rPr>
                <w:b/>
              </w:rPr>
              <w:t>MỨC HỖ TRỢ (VNĐ)</w:t>
            </w:r>
          </w:p>
        </w:tc>
        <w:tc>
          <w:tcPr>
            <w:tcW w:type="dxa" w:w="3135"/>
          </w:tcPr>
          <w:p>
            <w:r>
              <w:rPr>
                <w:b/>
              </w:rPr>
              <w:t>THỦ TỤC THỰC HIỆN</w:t>
            </w:r>
          </w:p>
        </w:tc>
      </w:tr>
      <w:tr>
        <w:tc>
          <w:tcPr>
            <w:tcW w:type="dxa" w:w="3135"/>
          </w:tcPr>
          <w:p>
            <w:r>
              <w:t>Hiếu hỷ (Tang lễ)</w:t>
            </w:r>
          </w:p>
        </w:tc>
        <w:tc>
          <w:tcPr>
            <w:tcW w:type="dxa" w:w="3135"/>
          </w:tcPr>
          <w:p>
            <w:r>
              <w:t>5.000.000</w:t>
            </w:r>
          </w:p>
        </w:tc>
        <w:tc>
          <w:tcPr>
            <w:tcW w:type="dxa" w:w="3135"/>
          </w:tcPr>
          <w:p>
            <w:r>
              <w:t>Mẫu đề xuất chi</w:t>
            </w:r>
          </w:p>
        </w:tc>
      </w:tr>
      <w:tr>
        <w:tc>
          <w:tcPr>
            <w:tcW w:type="dxa" w:w="3135"/>
          </w:tcPr>
          <w:p>
            <w:r>
              <w:t>Hiếu hỷ (Cưới hỏi)</w:t>
            </w:r>
          </w:p>
        </w:tc>
        <w:tc>
          <w:tcPr>
            <w:tcW w:type="dxa" w:w="3135"/>
          </w:tcPr>
          <w:p>
            <w:r>
              <w:t>2.000.000</w:t>
            </w:r>
          </w:p>
        </w:tc>
        <w:tc>
          <w:tcPr>
            <w:tcW w:type="dxa" w:w="3135"/>
          </w:tcPr>
          <w:p>
            <w:r>
              <w:t>Mẫu đề xuất chi</w:t>
            </w:r>
          </w:p>
        </w:tc>
      </w:tr>
      <w:tr>
        <w:tc>
          <w:tcPr>
            <w:tcW w:type="dxa" w:w="3135"/>
          </w:tcPr>
          <w:p>
            <w:r>
              <w:t>Sinh nhật</w:t>
            </w:r>
          </w:p>
        </w:tc>
        <w:tc>
          <w:tcPr>
            <w:tcW w:type="dxa" w:w="3135"/>
          </w:tcPr>
          <w:p>
            <w:r>
              <w:t>500.000</w:t>
            </w:r>
          </w:p>
        </w:tc>
        <w:tc>
          <w:tcPr>
            <w:tcW w:type="dxa" w:w="3135"/>
          </w:tcPr>
          <w:p>
            <w:r>
              <w:t>Nhận quà tại phòng nhân sự</w:t>
            </w:r>
          </w:p>
        </w:tc>
      </w:tr>
      <w:tr>
        <w:tc>
          <w:tcPr>
            <w:tcW w:type="dxa" w:w="3135"/>
          </w:tcPr>
          <w:p>
            <w:r>
              <w:t>Thăm ốm</w:t>
            </w:r>
          </w:p>
        </w:tc>
        <w:tc>
          <w:tcPr>
            <w:tcW w:type="dxa" w:w="3135"/>
          </w:tcPr>
          <w:p>
            <w:r>
              <w:t>1.000.000</w:t>
            </w:r>
          </w:p>
        </w:tc>
        <w:tc>
          <w:tcPr>
            <w:tcW w:type="dxa" w:w="3135"/>
          </w:tcPr>
          <w:p>
            <w:r>
              <w:t>Mẫu đề xuất chi</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BỘ PHẬN</w:t>
            </w:r>
          </w:p>
        </w:tc>
        <w:tc>
          <w:tcPr>
            <w:tcW w:type="dxa" w:w="4702"/>
          </w:tcPr>
          <w:p>
            <w:r>
              <w:rPr>
                <w:b/>
              </w:rPr>
              <w:t>TRÁCH NHIỆM</w:t>
            </w:r>
          </w:p>
        </w:tc>
      </w:tr>
      <w:tr>
        <w:tc>
          <w:tcPr>
            <w:tcW w:type="dxa" w:w="4702"/>
          </w:tcPr>
          <w:p>
            <w:r>
              <w:t>Phòng Nhân sự</w:t>
            </w:r>
          </w:p>
        </w:tc>
        <w:tc>
          <w:tcPr>
            <w:tcW w:type="dxa" w:w="4702"/>
          </w:tcPr>
          <w:p>
            <w:r>
              <w:t>1. Theo dõi và cập nhật thông tin về các sự kiện hiếu hỷ, sinh nhật, thăm ốm của nhân viên.</w:t>
            </w:r>
          </w:p>
        </w:tc>
      </w:tr>
      <w:tr>
        <w:tc>
          <w:tcPr>
            <w:tcW w:type="dxa" w:w="4702"/>
          </w:tcPr>
          <w:p>
            <w:r>
              <w:t>2. Tổ chức các hoạt động mừng sinh nhật cho nhân viên.</w:t>
            </w:r>
          </w:p>
        </w:tc>
        <w:tc>
          <w:tcPr>
            <w:tcW w:type="dxa" w:w="4702"/>
          </w:tcPr>
          <w:p>
            <w:r/>
          </w:p>
        </w:tc>
      </w:tr>
      <w:tr>
        <w:tc>
          <w:tcPr>
            <w:tcW w:type="dxa" w:w="4702"/>
          </w:tcPr>
          <w:p>
            <w:r>
              <w:t>3. Thực hiện quy trình phê duyệt chi từ quỹ Công đoàn.</w:t>
            </w:r>
          </w:p>
        </w:tc>
        <w:tc>
          <w:tcPr>
            <w:tcW w:type="dxa" w:w="4702"/>
          </w:tcPr>
          <w:p>
            <w:r/>
          </w:p>
        </w:tc>
      </w:tr>
      <w:tr>
        <w:tc>
          <w:tcPr>
            <w:tcW w:type="dxa" w:w="4702"/>
          </w:tcPr>
          <w:p>
            <w:r>
              <w:t>Phòng Tài chính</w:t>
            </w:r>
          </w:p>
        </w:tc>
        <w:tc>
          <w:tcPr>
            <w:tcW w:type="dxa" w:w="4702"/>
          </w:tcPr>
          <w:p>
            <w:r>
              <w:t>1. Lập ngân sách hàng năm cho các khoản hỗ trợ.</w:t>
            </w:r>
          </w:p>
        </w:tc>
      </w:tr>
      <w:tr>
        <w:tc>
          <w:tcPr>
            <w:tcW w:type="dxa" w:w="4702"/>
          </w:tcPr>
          <w:p>
            <w:r>
              <w:t>2. Theo dõi và báo cáo chi tiêu cho các khoản hỗ trợ định kỳ.</w:t>
            </w:r>
          </w:p>
        </w:tc>
        <w:tc>
          <w:tcPr>
            <w:tcW w:type="dxa" w:w="4702"/>
          </w:tcPr>
          <w:p>
            <w:r/>
          </w:p>
        </w:tc>
      </w:tr>
      <w:tr>
        <w:tc>
          <w:tcPr>
            <w:tcW w:type="dxa" w:w="4702"/>
          </w:tcPr>
          <w:p>
            <w:r>
              <w:t>3. Đề xuất điều chỉnh ngân sách khi cần thiết.</w:t>
            </w:r>
          </w:p>
        </w:tc>
        <w:tc>
          <w:tcPr>
            <w:tcW w:type="dxa" w:w="4702"/>
          </w:tcPr>
          <w:p>
            <w:r/>
          </w:p>
        </w:tc>
      </w:tr>
      <w:tr>
        <w:tc>
          <w:tcPr>
            <w:tcW w:type="dxa" w:w="4702"/>
          </w:tcPr>
          <w:p>
            <w:r>
              <w:t>Công đoàn</w:t>
            </w:r>
          </w:p>
        </w:tc>
        <w:tc>
          <w:tcPr>
            <w:tcW w:type="dxa" w:w="4702"/>
          </w:tcPr>
          <w:p>
            <w:r>
              <w:t>1. Đại diện cho quyền lợi của nhân viên trong việc đề xuất các khoản hỗ trợ.</w:t>
            </w:r>
          </w:p>
        </w:tc>
      </w:tr>
      <w:tr>
        <w:tc>
          <w:tcPr>
            <w:tcW w:type="dxa" w:w="4702"/>
          </w:tcPr>
          <w:p>
            <w:r>
              <w:t>2. Tổ chức các hoạt động giao lưu và tăng cường tinh thần đoàn kết giữa các nhân viên.</w:t>
            </w:r>
          </w:p>
        </w:tc>
        <w:tc>
          <w:tcPr>
            <w:tcW w:type="dxa" w:w="4702"/>
          </w:tcPr>
          <w:p>
            <w:r/>
          </w:p>
        </w:tc>
      </w:tr>
      <w:tr>
        <w:tc>
          <w:tcPr>
            <w:tcW w:type="dxa" w:w="4702"/>
          </w:tcPr>
          <w:p>
            <w:r>
              <w:t>3. Tiếp nhận và xử lý các ý kiến đóng góp từ nhân viên về chế độ hỗ trợ.</w:t>
            </w:r>
          </w:p>
        </w:tc>
        <w:tc>
          <w:tcPr>
            <w:tcW w:type="dxa" w:w="4702"/>
          </w:tcPr>
          <w:p>
            <w:r/>
          </w:p>
        </w:tc>
      </w:tr>
      <w:tr>
        <w:tc>
          <w:tcPr>
            <w:tcW w:type="dxa" w:w="4702"/>
          </w:tcPr>
          <w:p>
            <w:r>
              <w:t>Nhân viên</w:t>
            </w:r>
          </w:p>
        </w:tc>
        <w:tc>
          <w:tcPr>
            <w:tcW w:type="dxa" w:w="4702"/>
          </w:tcPr>
          <w:p>
            <w:r>
              <w:t>1. Đảm bảo thông báo kịp thời về các sự kiện hiếu hỷ, sinh nhật, thăm ốm.</w:t>
            </w:r>
          </w:p>
        </w:tc>
      </w:tr>
      <w:tr>
        <w:tc>
          <w:tcPr>
            <w:tcW w:type="dxa" w:w="4702"/>
          </w:tcPr>
          <w:p>
            <w:r>
              <w:t>2. Hoàn thành mẫu đề xuất chi khi cần thiết.</w:t>
            </w:r>
          </w:p>
        </w:tc>
        <w:tc>
          <w:tcPr>
            <w:tcW w:type="dxa" w:w="4702"/>
          </w:tcPr>
          <w:p>
            <w:r/>
          </w:p>
        </w:tc>
      </w:tr>
      <w:tr>
        <w:tc>
          <w:tcPr>
            <w:tcW w:type="dxa" w:w="4702"/>
          </w:tcPr>
          <w:p>
            <w:r>
              <w:t>3. Tham gia các hoạt động do công ty tổ chức liên quan đến chế độ hỗ trợ.</w:t>
            </w:r>
          </w:p>
        </w:tc>
        <w:tc>
          <w:tcPr>
            <w:tcW w:type="dxa" w:w="4702"/>
          </w:tcPr>
          <w:p>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PHẠT (VNĐ)</w:t>
            </w:r>
          </w:p>
        </w:tc>
      </w:tr>
      <w:tr>
        <w:tc>
          <w:tcPr>
            <w:tcW w:type="dxa" w:w="2351"/>
          </w:tcPr>
          <w:p>
            <w:r>
              <w:t>Lạm dụng chế độ hỗ trợ</w:t>
            </w:r>
          </w:p>
        </w:tc>
        <w:tc>
          <w:tcPr>
            <w:tcW w:type="dxa" w:w="2351"/>
          </w:tcPr>
          <w:p>
            <w:r>
              <w:t>1 lần</w:t>
            </w:r>
          </w:p>
        </w:tc>
        <w:tc>
          <w:tcPr>
            <w:tcW w:type="dxa" w:w="2351"/>
          </w:tcPr>
          <w:p>
            <w:r>
              <w:t>Cảnh cáo</w:t>
            </w:r>
          </w:p>
        </w:tc>
        <w:tc>
          <w:tcPr>
            <w:tcW w:type="dxa" w:w="2351"/>
          </w:tcPr>
          <w:p>
            <w:r>
              <w:t>500.000</w:t>
            </w:r>
          </w:p>
        </w:tc>
      </w:tr>
      <w:tr>
        <w:tc>
          <w:tcPr>
            <w:tcW w:type="dxa" w:w="2351"/>
          </w:tcPr>
          <w:p>
            <w:r>
              <w:t>Lạm dụng chế độ hỗ trợ</w:t>
            </w:r>
          </w:p>
        </w:tc>
        <w:tc>
          <w:tcPr>
            <w:tcW w:type="dxa" w:w="2351"/>
          </w:tcPr>
          <w:p>
            <w:r>
              <w:t>2 lần</w:t>
            </w:r>
          </w:p>
        </w:tc>
        <w:tc>
          <w:tcPr>
            <w:tcW w:type="dxa" w:w="2351"/>
          </w:tcPr>
          <w:p>
            <w:r>
              <w:t>Kỷ luật khiển trách</w:t>
            </w:r>
          </w:p>
        </w:tc>
        <w:tc>
          <w:tcPr>
            <w:tcW w:type="dxa" w:w="2351"/>
          </w:tcPr>
          <w:p>
            <w:r>
              <w:t>1.000.000</w:t>
            </w:r>
          </w:p>
        </w:tc>
      </w:tr>
      <w:tr>
        <w:tc>
          <w:tcPr>
            <w:tcW w:type="dxa" w:w="2351"/>
          </w:tcPr>
          <w:p>
            <w:r>
              <w:t>Lừa đảo trong đề xuất chi</w:t>
            </w:r>
          </w:p>
        </w:tc>
        <w:tc>
          <w:tcPr>
            <w:tcW w:type="dxa" w:w="2351"/>
          </w:tcPr>
          <w:p>
            <w:r>
              <w:t>1 lần</w:t>
            </w:r>
          </w:p>
        </w:tc>
        <w:tc>
          <w:tcPr>
            <w:tcW w:type="dxa" w:w="2351"/>
          </w:tcPr>
          <w:p>
            <w:r>
              <w:t>Kỷ luật sa thải</w:t>
            </w:r>
          </w:p>
        </w:tc>
        <w:tc>
          <w:tcPr>
            <w:tcW w:type="dxa" w:w="2351"/>
          </w:tcPr>
          <w:p>
            <w:r>
              <w:t>5.000.000</w:t>
            </w:r>
          </w:p>
        </w:tc>
      </w:tr>
      <w:tr>
        <w:tc>
          <w:tcPr>
            <w:tcW w:type="dxa" w:w="2351"/>
          </w:tcPr>
          <w:p>
            <w:r>
              <w:t>Không thông báo kịp thời sự kiện hiếu hỷ, thăm ốm</w:t>
            </w:r>
          </w:p>
        </w:tc>
        <w:tc>
          <w:tcPr>
            <w:tcW w:type="dxa" w:w="2351"/>
          </w:tcPr>
          <w:p>
            <w:r>
              <w:t>1 lần</w:t>
            </w:r>
          </w:p>
        </w:tc>
        <w:tc>
          <w:tcPr>
            <w:tcW w:type="dxa" w:w="2351"/>
          </w:tcPr>
          <w:p>
            <w:r>
              <w:t>Cảnh cáo</w:t>
            </w:r>
          </w:p>
        </w:tc>
        <w:tc>
          <w:tcPr>
            <w:tcW w:type="dxa" w:w="2351"/>
          </w:tcPr>
          <w:p>
            <w:r>
              <w:t>300.000</w:t>
            </w:r>
          </w:p>
        </w:tc>
      </w:tr>
    </w:tbl>
    <w:p/>
    <w:p>
      <w:pPr>
        <w:pStyle w:val="Heading1"/>
        <w:spacing w:before="280" w:after="120"/>
      </w:pPr>
      <w:r>
        <w:t>VI. ĐIỀU KHOẢN THI HÀNH</w:t>
      </w:r>
    </w:p>
    <w:p>
      <w:pPr>
        <w:spacing w:after="120"/>
      </w:pPr>
      <w:r>
        <w:t>Quy định này có hiệu lực từ ngày 01 tháng 07 năm 2026. Tất cả các văn bản quy định trước đây liên quan đến chế độ hiếu hỷ, sinh nhật, thăm ốm và hỗ trợ nhân viên sẽ bị bãi bỏ. Trách nhiệm phổ biến văn bản này thuộc về phòng nhân sự và Công đoàn. Mọi thay đổi, cập nhật liên quan đến quy định này sẽ được thực hiện theo quy trình nội bộ và thông báo đến toàn bộ nhân viên qua các kênh truyền thông của công ty.</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