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VSF/59_QD_AN_NINH_MANG_P</w:t>
      </w:r>
    </w:p>
    <w:p/>
    <w:p>
      <w:pPr>
        <w:jc w:val="center"/>
      </w:pPr>
      <w:r>
        <w:rPr>
          <w:b/>
          <w:sz w:val="28"/>
        </w:rPr>
        <w:t>QUY ĐỊNH AN NINH MẠNG VÀ PHÒNG CHỐNG TẤN CÔNG MẠNG</w:t>
      </w:r>
    </w:p>
    <w:p/>
    <w:p>
      <w:pPr>
        <w:pStyle w:val="Heading1"/>
        <w:spacing w:before="280" w:after="120"/>
      </w:pPr>
      <w:r>
        <w:t>I. PHẠM VI VÀ ĐỐI TƯỢNG ÁP DỤNG</w:t>
      </w:r>
    </w:p>
    <w:p>
      <w:pPr>
        <w:spacing w:after="120"/>
      </w:pPr>
      <w:r>
        <w:t>Quy định An ninh mạng và phòng chống tấn công mạng này áp dụng cho tất cả các cán bộ, nhân viên, và đối tác của Công ty TNHH Công nghệ VSF trong toàn bộ thời gian làm việc tại công ty và khi sử dụng hệ thống công nghệ thông tin của công ty. Quy định này có hiệu lực từ ngày 01 tháng 07 năm 2026 và được áp dụng cho mọi thiết bị, hệ thống mạng, phần mềm, và dữ liệu mà công ty đang sử dụng hoặc quản lý. Đối tượng ngoại lệ bao gồm các khách hàng, nhà cung cấp hoặc các bên thứ ba không có quyền truy cập vào hệ thống thông tin của công ty, nhưng có thể cần tuân thủ các yêu cầu bảo mật khi tương tác với hệ thống của công ty.</w:t>
      </w:r>
    </w:p>
    <w:p>
      <w:pPr>
        <w:pStyle w:val="Heading1"/>
        <w:spacing w:before="280" w:after="120"/>
      </w:pPr>
      <w:r>
        <w:t>II. ĐỊNH NGHĨA VÀ GIẢI THÍCH THUẬT NGỮ</w:t>
      </w:r>
    </w:p>
    <w:p>
      <w:pPr>
        <w:pStyle w:val="ListNumber"/>
        <w:spacing w:after="60"/>
      </w:pPr>
      <w:r>
        <w:t>1. An ninh mạng: Là tổng thể các biện pháp bảo vệ hệ thống mạng và dữ liệu khỏi sự truy cập trái phép, tấn công và hư hại từ bên ngoài hoặc bên trong.</w:t>
      </w:r>
    </w:p>
    <w:p>
      <w:pPr>
        <w:pStyle w:val="ListNumber"/>
        <w:spacing w:after="60"/>
      </w:pPr>
      <w:r>
        <w:t>2. Tấn công mạng: Là hành động cố ý của một cá nhân hoặc nhóm nhằm xâm nhập, gây hại hoặc chiếm đoạt thông tin từ hệ thống máy tính, mạng hoặc thiết bị điện tử.</w:t>
      </w:r>
    </w:p>
    <w:p>
      <w:pPr>
        <w:pStyle w:val="ListNumber"/>
        <w:spacing w:after="60"/>
      </w:pPr>
      <w:r>
        <w:t>3. Mật khẩu: Là chuỗi ký tự được sử dụng để xác thực danh tính của người dùng khi truy cập vào hệ thống, ứng dụng hoặc tài khoản trực tuyến.</w:t>
      </w:r>
    </w:p>
    <w:p>
      <w:pPr>
        <w:pStyle w:val="ListNumber"/>
        <w:spacing w:after="60"/>
      </w:pPr>
      <w:r>
        <w:t>4. VPN (Mạng riêng ảo): Là công nghệ cho phép người dùng kết nối an toàn đến một mạng riêng qua internet, bảo vệ dữ liệu truyền tải và ẩn danh IP của người dùng.</w:t>
      </w:r>
    </w:p>
    <w:p>
      <w:pPr>
        <w:pStyle w:val="ListNumber"/>
        <w:spacing w:after="60"/>
      </w:pPr>
      <w:r>
        <w:t>5. Phishing (Lừa đảo qua email): Là hành vi lừa đảo qua email để chiếm đoạt thông tin nhạy cảm của người dùng, thường là thông tin tài khoản ngân hàng, tài khoản email hoặc mật khẩu.</w:t>
      </w:r>
    </w:p>
    <w:p>
      <w:pPr>
        <w:pStyle w:val="ListNumber"/>
        <w:spacing w:after="60"/>
      </w:pPr>
      <w:r>
        <w:t>6. Kiểm tra bảo mật (Penetration test): Là quy trình đánh giá và kiểm tra mức độ an toàn của hệ thống bằng cách mô phỏng các cuộc tấn công mạng nhằm phát hiện và khắc phục các lỗ hổng bảo mật.</w:t>
      </w:r>
    </w:p>
    <w:p>
      <w:pPr>
        <w:pStyle w:val="Heading1"/>
        <w:spacing w:before="280" w:after="120"/>
      </w:pPr>
      <w:r>
        <w:t>III. NỘI DUNG QUY ĐỊNH / QUY TRÌNH CHI TIẾT</w:t>
      </w:r>
    </w:p>
    <w:p>
      <w:pPr>
        <w:pStyle w:val="Heading2"/>
        <w:spacing w:before="200" w:after="80"/>
      </w:pPr>
      <w:r>
        <w:t>3.1 Chính sách mật khẩu</w:t>
      </w:r>
    </w:p>
    <w:p>
      <w:pPr>
        <w:pStyle w:val="ListBullet"/>
        <w:spacing w:after="60"/>
      </w:pPr>
      <w:r>
        <w:t>Độ phức tạp: Mật khẩu phải bao gồm ít nhất 8 ký tự, trong đó có ít nhất một chữ cái viết hoa, một chữ cái viết thường, một chữ số và một ký tự đặc biệt.</w:t>
      </w:r>
    </w:p>
    <w:p>
      <w:pPr>
        <w:pStyle w:val="ListBullet"/>
        <w:spacing w:after="60"/>
      </w:pPr>
      <w:r>
        <w:t>Tần suất đổi mật khẩu: Nhân viên phải thay đổi mật khẩu của mình ít nhất mỗi 90 ngày.</w:t>
      </w:r>
    </w:p>
    <w:p>
      <w:pPr>
        <w:pStyle w:val="ListBullet"/>
        <w:spacing w:after="60"/>
      </w:pPr>
      <w:r>
        <w:t>Xác thực hai yếu tố (2FA): Tất cả nhân viên phải kích hoạt xác thực hai yếu tố để tăng cường bảo mật cho tài khoản của mình.</w:t>
      </w:r>
    </w:p>
    <w:p>
      <w:pPr>
        <w:pStyle w:val="Heading2"/>
        <w:spacing w:before="200" w:after="80"/>
      </w:pPr>
      <w:r>
        <w:t>3.2 Sử dụng VPN</w:t>
      </w:r>
    </w:p>
    <w:p>
      <w:pPr>
        <w:pStyle w:val="ListBullet"/>
        <w:spacing w:after="60"/>
      </w:pPr>
      <w:r>
        <w:t>Bắt buộc sử dụng VPN: Nhân viên phải sử dụng VPN khi truy cập vào hệ thống công ty từ các thiết bị cá nhân hoặc từ các mạng không an toàn.</w:t>
      </w:r>
    </w:p>
    <w:p>
      <w:pPr>
        <w:pStyle w:val="ListBullet"/>
        <w:spacing w:after="60"/>
      </w:pPr>
      <w:r>
        <w:t>Hướng dẫn cài đặt: Công ty sẽ cung cấp tài liệu hướng dẫn cài đặt và sử dụng VPN cho tất cả nhân viên.</w:t>
      </w:r>
    </w:p>
    <w:p>
      <w:pPr>
        <w:pStyle w:val="ListBullet"/>
        <w:spacing w:after="60"/>
      </w:pPr>
      <w:r>
        <w:t>Giám sát sử dụng: Bộ phận IT sẽ giám sát và ghi lại các kết nối VPN để đảm bảo tính bảo mật.</w:t>
      </w:r>
    </w:p>
    <w:p>
      <w:pPr>
        <w:pStyle w:val="Heading2"/>
        <w:spacing w:before="200" w:after="80"/>
      </w:pPr>
      <w:r>
        <w:t>3.3 Cấm cài đặt phần mềm không phép</w:t>
      </w:r>
    </w:p>
    <w:p>
      <w:pPr>
        <w:pStyle w:val="ListBullet"/>
        <w:spacing w:after="60"/>
      </w:pPr>
      <w:r>
        <w:t>Cấm cài đặt: Nhân viên không được phép cài đặt bất kỳ phần mềm nào không được công ty phê duyệt trên thiết bị làm việc.</w:t>
      </w:r>
    </w:p>
    <w:p>
      <w:pPr>
        <w:pStyle w:val="ListBullet"/>
        <w:spacing w:after="60"/>
      </w:pPr>
      <w:r>
        <w:t>Danh sách phần mềm được phép: Công ty sẽ cung cấp danh sách các phần mềm được phép cài đặt và sử dụng.</w:t>
      </w:r>
    </w:p>
    <w:p>
      <w:pPr>
        <w:pStyle w:val="ListBullet"/>
        <w:spacing w:after="60"/>
      </w:pPr>
      <w:r>
        <w:t>Xử lý vi phạm: Mọi hành vi vi phạm quy định này sẽ bị xử lý nghiêm túc theo quy định của công ty.</w:t>
      </w:r>
    </w:p>
    <w:p>
      <w:pPr>
        <w:pStyle w:val="Heading2"/>
        <w:spacing w:before="200" w:after="80"/>
      </w:pPr>
      <w:r>
        <w:t>3.4 Xử lý email phishing</w:t>
      </w:r>
    </w:p>
    <w:p>
      <w:pPr>
        <w:pStyle w:val="ListBullet"/>
        <w:spacing w:after="60"/>
      </w:pPr>
      <w:r>
        <w:t>Nhận diện email phishing: Nhân viên cần được đào tạo để nhận diện các dấu hiệu của email phishing như địa chỉ email giả mạo, yêu cầu thông tin nhạy cảm, hoặc các liên kết đáng ngờ.</w:t>
      </w:r>
    </w:p>
    <w:p>
      <w:pPr>
        <w:pStyle w:val="ListBullet"/>
        <w:spacing w:after="60"/>
      </w:pPr>
      <w:r>
        <w:t>Quy trình báo cáo: Nếu phát hiện email nghi ngờ, nhân viên phải báo cáo ngay lập tức cho bộ phận IT thông qua hệ thống báo cáo sự cố.</w:t>
      </w:r>
    </w:p>
    <w:p>
      <w:pPr>
        <w:pStyle w:val="ListBullet"/>
        <w:spacing w:after="60"/>
      </w:pPr>
      <w:r>
        <w:t>Đào tạo định kỳ: Công ty sẽ tổ chức các buổi đào tạo định kỳ về nhận diện và xử lý email phishing cho toàn bộ nhân viên.</w:t>
      </w:r>
    </w:p>
    <w:p>
      <w:pPr>
        <w:pStyle w:val="Heading2"/>
        <w:spacing w:before="200" w:after="80"/>
      </w:pPr>
      <w:r>
        <w:t>3.5 Quy trình báo cáo sự cố an ninh</w:t>
      </w:r>
    </w:p>
    <w:p>
      <w:pPr>
        <w:pStyle w:val="ListBullet"/>
        <w:spacing w:after="60"/>
      </w:pPr>
      <w:r>
        <w:t>Bước 1: Nhân viên phát hiện sự cố an ninh mạng cần ngay lập tức thông báo cho bộ phận IT hoặc quản lý trực tiếp.</w:t>
      </w:r>
    </w:p>
    <w:p>
      <w:pPr>
        <w:pStyle w:val="ListBullet"/>
        <w:spacing w:after="60"/>
      </w:pPr>
      <w:r>
        <w:t>Bước 2: Bộ phận IT sẽ tiến hành điều tra và xử lý sự cố, ghi nhận các thông tin liên quan.</w:t>
      </w:r>
    </w:p>
    <w:p>
      <w:pPr>
        <w:pStyle w:val="ListBullet"/>
        <w:spacing w:after="60"/>
      </w:pPr>
      <w:r>
        <w:t>Bước 3: Sau khi xử lý, bộ phận IT sẽ báo cáo kết quả cho Giám đốc điều hành và đề xuất các biện pháp khắc phục để ngăn chặn sự cố tái diễn.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NỘI DUNG QUY ĐỊNH</w:t>
            </w:r>
          </w:p>
        </w:tc>
        <w:tc>
          <w:tcPr>
            <w:tcW w:type="dxa" w:w="3135"/>
          </w:tcPr>
          <w:p>
            <w:r>
              <w:rPr>
                <w:b/>
              </w:rPr>
              <w:t>MÔ TẢ</w:t>
            </w:r>
          </w:p>
        </w:tc>
        <w:tc>
          <w:tcPr>
            <w:tcW w:type="dxa" w:w="3135"/>
          </w:tcPr>
          <w:p>
            <w:r>
              <w:rPr>
                <w:b/>
              </w:rPr>
              <w:t>THỜI GIAN THỰC HIỆN</w:t>
            </w:r>
          </w:p>
        </w:tc>
      </w:tr>
      <w:tr>
        <w:tc>
          <w:tcPr>
            <w:tcW w:type="dxa" w:w="3135"/>
          </w:tcPr>
          <w:p>
            <w:r>
              <w:t>Chính sách mật khẩu</w:t>
            </w:r>
          </w:p>
        </w:tc>
        <w:tc>
          <w:tcPr>
            <w:tcW w:type="dxa" w:w="3135"/>
          </w:tcPr>
          <w:p>
            <w:r>
              <w:t>Độ phức tạp mật khẩu, tần suất thay đổi mật khẩu, 2FA</w:t>
            </w:r>
          </w:p>
        </w:tc>
        <w:tc>
          <w:tcPr>
            <w:tcW w:type="dxa" w:w="3135"/>
          </w:tcPr>
          <w:p>
            <w:r>
              <w:t>01/07/2026</w:t>
            </w:r>
          </w:p>
        </w:tc>
      </w:tr>
      <w:tr>
        <w:tc>
          <w:tcPr>
            <w:tcW w:type="dxa" w:w="3135"/>
          </w:tcPr>
          <w:p>
            <w:r>
              <w:t>Sử dụng VPN</w:t>
            </w:r>
          </w:p>
        </w:tc>
        <w:tc>
          <w:tcPr>
            <w:tcW w:type="dxa" w:w="3135"/>
          </w:tcPr>
          <w:p>
            <w:r>
              <w:t>Bắt buộc sử dụng VPN khi truy cập từ xa</w:t>
            </w:r>
          </w:p>
        </w:tc>
        <w:tc>
          <w:tcPr>
            <w:tcW w:type="dxa" w:w="3135"/>
          </w:tcPr>
          <w:p>
            <w:r>
              <w:t>01/07/2026</w:t>
            </w:r>
          </w:p>
        </w:tc>
      </w:tr>
      <w:tr>
        <w:tc>
          <w:tcPr>
            <w:tcW w:type="dxa" w:w="3135"/>
          </w:tcPr>
          <w:p>
            <w:r>
              <w:t>Cấm cài đặt phần mềm không phép</w:t>
            </w:r>
          </w:p>
        </w:tc>
        <w:tc>
          <w:tcPr>
            <w:tcW w:type="dxa" w:w="3135"/>
          </w:tcPr>
          <w:p>
            <w:r>
              <w:t>Không cài đặt phần mềm không được phê duyệt</w:t>
            </w:r>
          </w:p>
        </w:tc>
        <w:tc>
          <w:tcPr>
            <w:tcW w:type="dxa" w:w="3135"/>
          </w:tcPr>
          <w:p>
            <w:r>
              <w:t>01/07/2026</w:t>
            </w:r>
          </w:p>
        </w:tc>
      </w:tr>
      <w:tr>
        <w:tc>
          <w:tcPr>
            <w:tcW w:type="dxa" w:w="3135"/>
          </w:tcPr>
          <w:p>
            <w:r>
              <w:t>Xử lý email phishing</w:t>
            </w:r>
          </w:p>
        </w:tc>
        <w:tc>
          <w:tcPr>
            <w:tcW w:type="dxa" w:w="3135"/>
          </w:tcPr>
          <w:p>
            <w:r>
              <w:t>Đào tạo và báo cáo email nghi ngờ</w:t>
            </w:r>
          </w:p>
        </w:tc>
        <w:tc>
          <w:tcPr>
            <w:tcW w:type="dxa" w:w="3135"/>
          </w:tcPr>
          <w:p>
            <w:r>
              <w:t>01/07/2026</w:t>
            </w:r>
          </w:p>
        </w:tc>
      </w:tr>
      <w:tr>
        <w:tc>
          <w:tcPr>
            <w:tcW w:type="dxa" w:w="3135"/>
          </w:tcPr>
          <w:p>
            <w:r>
              <w:t>Quy trình báo cáo sự cố</w:t>
            </w:r>
          </w:p>
        </w:tc>
        <w:tc>
          <w:tcPr>
            <w:tcW w:type="dxa" w:w="3135"/>
          </w:tcPr>
          <w:p>
            <w:r>
              <w:t>Quy trình thông báo và xử lý sự cố</w:t>
            </w:r>
          </w:p>
        </w:tc>
        <w:tc>
          <w:tcPr>
            <w:tcW w:type="dxa" w:w="3135"/>
          </w:tcPr>
          <w:p>
            <w:r>
              <w:t>01/07/2026</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VAI TRÒ/ BỘ PHẬN</w:t>
            </w:r>
          </w:p>
        </w:tc>
        <w:tc>
          <w:tcPr>
            <w:tcW w:type="dxa" w:w="3135"/>
          </w:tcPr>
          <w:p>
            <w:r>
              <w:rPr>
                <w:b/>
              </w:rPr>
              <w:t>TRÁCH NHIỆM</w:t>
            </w:r>
          </w:p>
        </w:tc>
        <w:tc>
          <w:tcPr>
            <w:tcW w:type="dxa" w:w="3135"/>
          </w:tcPr>
          <w:p>
            <w:r>
              <w:rPr>
                <w:b/>
              </w:rPr>
              <w:t>CHI TIẾT</w:t>
            </w:r>
          </w:p>
        </w:tc>
      </w:tr>
      <w:tr>
        <w:tc>
          <w:tcPr>
            <w:tcW w:type="dxa" w:w="3135"/>
          </w:tcPr>
          <w:p>
            <w:r>
              <w:t>Bộ phận IT</w:t>
            </w:r>
          </w:p>
        </w:tc>
        <w:tc>
          <w:tcPr>
            <w:tcW w:type="dxa" w:w="3135"/>
          </w:tcPr>
          <w:p>
            <w:r>
              <w:t>Quản lý an ninh mạng</w:t>
            </w:r>
          </w:p>
        </w:tc>
        <w:tc>
          <w:tcPr>
            <w:tcW w:type="dxa" w:w="3135"/>
          </w:tcPr>
          <w:p>
            <w:r>
              <w:t>Theo dõi và phát hiện các mối đe dọa an ninh.</w:t>
            </w:r>
          </w:p>
        </w:tc>
      </w:tr>
      <w:tr>
        <w:tc>
          <w:tcPr>
            <w:tcW w:type="dxa" w:w="3135"/>
          </w:tcPr>
          <w:p>
            <w:r>
              <w:t>Bộ phận nhân sự</w:t>
            </w:r>
          </w:p>
        </w:tc>
        <w:tc>
          <w:tcPr>
            <w:tcW w:type="dxa" w:w="3135"/>
          </w:tcPr>
          <w:p>
            <w:r>
              <w:t>Đào tạo nhân viên</w:t>
            </w:r>
          </w:p>
        </w:tc>
        <w:tc>
          <w:tcPr>
            <w:tcW w:type="dxa" w:w="3135"/>
          </w:tcPr>
          <w:p>
            <w:r>
              <w:t>Tổ chức các khóa đào tạo về an ninh mạng cho nhân viên.</w:t>
            </w:r>
          </w:p>
        </w:tc>
      </w:tr>
      <w:tr>
        <w:tc>
          <w:tcPr>
            <w:tcW w:type="dxa" w:w="3135"/>
          </w:tcPr>
          <w:p>
            <w:r>
              <w:t>Nhân viên</w:t>
            </w:r>
          </w:p>
        </w:tc>
        <w:tc>
          <w:tcPr>
            <w:tcW w:type="dxa" w:w="3135"/>
          </w:tcPr>
          <w:p>
            <w:r>
              <w:t>Tuân thủ quy định</w:t>
            </w:r>
          </w:p>
        </w:tc>
        <w:tc>
          <w:tcPr>
            <w:tcW w:type="dxa" w:w="3135"/>
          </w:tcPr>
          <w:p>
            <w:r>
              <w:t>Thực hiện các quy định về bảo mật thông tin và báo cáo sự cố.</w:t>
            </w:r>
          </w:p>
        </w:tc>
      </w:tr>
      <w:tr>
        <w:tc>
          <w:tcPr>
            <w:tcW w:type="dxa" w:w="3135"/>
          </w:tcPr>
          <w:p>
            <w:r>
              <w:t>Giám đốc điều hành</w:t>
            </w:r>
          </w:p>
        </w:tc>
        <w:tc>
          <w:tcPr>
            <w:tcW w:type="dxa" w:w="3135"/>
          </w:tcPr>
          <w:p>
            <w:r>
              <w:t>Giám sát thực hiện</w:t>
            </w:r>
          </w:p>
        </w:tc>
        <w:tc>
          <w:tcPr>
            <w:tcW w:type="dxa" w:w="3135"/>
          </w:tcPr>
          <w:p>
            <w:r>
              <w:t>Đảm bảo tất cả nhân viên thực hiện đúng quy định an ninh mạng.</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PHẠT (VNĐ)</w:t>
            </w:r>
          </w:p>
        </w:tc>
      </w:tr>
      <w:tr>
        <w:tc>
          <w:tcPr>
            <w:tcW w:type="dxa" w:w="2351"/>
          </w:tcPr>
          <w:p>
            <w:r>
              <w:t>Không thay đổi mật khẩu đúng hạn</w:t>
            </w:r>
          </w:p>
        </w:tc>
        <w:tc>
          <w:tcPr>
            <w:tcW w:type="dxa" w:w="2351"/>
          </w:tcPr>
          <w:p>
            <w:r>
              <w:t>1 lần</w:t>
            </w:r>
          </w:p>
        </w:tc>
        <w:tc>
          <w:tcPr>
            <w:tcW w:type="dxa" w:w="2351"/>
          </w:tcPr>
          <w:p>
            <w:r>
              <w:t>Cảnh cáo</w:t>
            </w:r>
          </w:p>
        </w:tc>
        <w:tc>
          <w:tcPr>
            <w:tcW w:type="dxa" w:w="2351"/>
          </w:tcPr>
          <w:p>
            <w:r>
              <w:t>500,000</w:t>
            </w:r>
          </w:p>
        </w:tc>
      </w:tr>
      <w:tr>
        <w:tc>
          <w:tcPr>
            <w:tcW w:type="dxa" w:w="2351"/>
          </w:tcPr>
          <w:p>
            <w:r>
              <w:t>Cài đặt phần mềm không phép</w:t>
            </w:r>
          </w:p>
        </w:tc>
        <w:tc>
          <w:tcPr>
            <w:tcW w:type="dxa" w:w="2351"/>
          </w:tcPr>
          <w:p>
            <w:r>
              <w:t>1 lần</w:t>
            </w:r>
          </w:p>
        </w:tc>
        <w:tc>
          <w:tcPr>
            <w:tcW w:type="dxa" w:w="2351"/>
          </w:tcPr>
          <w:p>
            <w:r>
              <w:t>Kỷ luật</w:t>
            </w:r>
          </w:p>
        </w:tc>
        <w:tc>
          <w:tcPr>
            <w:tcW w:type="dxa" w:w="2351"/>
          </w:tcPr>
          <w:p>
            <w:r>
              <w:t>1,000,000</w:t>
            </w:r>
          </w:p>
        </w:tc>
      </w:tr>
      <w:tr>
        <w:tc>
          <w:tcPr>
            <w:tcW w:type="dxa" w:w="2351"/>
          </w:tcPr>
          <w:p>
            <w:r>
              <w:t>Không sử dụng VPN khi làm việc từ xa</w:t>
            </w:r>
          </w:p>
        </w:tc>
        <w:tc>
          <w:tcPr>
            <w:tcW w:type="dxa" w:w="2351"/>
          </w:tcPr>
          <w:p>
            <w:r>
              <w:t>1 lần</w:t>
            </w:r>
          </w:p>
        </w:tc>
        <w:tc>
          <w:tcPr>
            <w:tcW w:type="dxa" w:w="2351"/>
          </w:tcPr>
          <w:p>
            <w:r>
              <w:t>Kỷ luật</w:t>
            </w:r>
          </w:p>
        </w:tc>
        <w:tc>
          <w:tcPr>
            <w:tcW w:type="dxa" w:w="2351"/>
          </w:tcPr>
          <w:p>
            <w:r>
              <w:t>1,500,000</w:t>
            </w:r>
          </w:p>
        </w:tc>
      </w:tr>
      <w:tr>
        <w:tc>
          <w:tcPr>
            <w:tcW w:type="dxa" w:w="2351"/>
          </w:tcPr>
          <w:p>
            <w:r>
              <w:t>Không báo cáo email phishing</w:t>
            </w:r>
          </w:p>
        </w:tc>
        <w:tc>
          <w:tcPr>
            <w:tcW w:type="dxa" w:w="2351"/>
          </w:tcPr>
          <w:p>
            <w:r>
              <w:t>1 lần</w:t>
            </w:r>
          </w:p>
        </w:tc>
        <w:tc>
          <w:tcPr>
            <w:tcW w:type="dxa" w:w="2351"/>
          </w:tcPr>
          <w:p>
            <w:r>
              <w:t>Kỷ luật</w:t>
            </w:r>
          </w:p>
        </w:tc>
        <w:tc>
          <w:tcPr>
            <w:tcW w:type="dxa" w:w="2351"/>
          </w:tcPr>
          <w:p>
            <w:r>
              <w:t>2,000,000</w:t>
            </w:r>
          </w:p>
        </w:tc>
      </w:tr>
    </w:tbl>
    <w:p/>
    <w:p>
      <w:pPr>
        <w:pStyle w:val="Heading1"/>
        <w:spacing w:before="280" w:after="120"/>
      </w:pPr>
      <w:r>
        <w:t>VI. ĐIỀU KHOẢN THI HÀNH</w:t>
      </w:r>
    </w:p>
    <w:p>
      <w:pPr>
        <w:spacing w:after="120"/>
      </w:pPr>
      <w:r>
        <w:t>Quy định này có hiệu lực từ ngày 01 tháng 07 năm 2026. Các quy định trước đây liên quan đến an ninh mạng và phòng chống tấn công mạng sẽ bị bãi bỏ. Trách nhiệm phổ biến văn bản này thuộc về bộ phận nhân sự và bộ phận IT. Mọi thay đổi, bổ sung quy định sẽ được thực hiện theo quy trình cập nhật và sửa đổi của công ty.</w:t>
      </w:r>
    </w:p>
    <w:p>
      <w:pPr>
        <w:spacing w:after="120"/>
      </w:pPr>
      <w:r>
        <w:t>TP. Ho Chi Minh, ngày 01 tháng 07 năm 2026</w:t>
      </w:r>
    </w:p>
    <w:p>
      <w:pPr>
        <w:pStyle w:val="Heading1"/>
        <w:spacing w:before="280" w:after="120"/>
      </w:pPr>
      <w:r>
        <w:t>GIÁM ĐỐC ĐIỀU HÀNH</w:t>
      </w:r>
    </w:p>
    <w:p>
      <w:pPr>
        <w:spacing w:after="120"/>
      </w:pPr>
      <w:r>
        <w:t>Nguyen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