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040B37"/>
          <w:sz w:val="40"/>
        </w:rPr>
        <w:t>CSCN Learning Platform</w:t>
      </w:r>
    </w:p>
    <w:p>
      <w:pPr>
        <w:spacing w:after="160"/>
      </w:pPr>
      <w:r>
        <w:rPr>
          <w:rFonts w:ascii="Calibri" w:hAnsi="Calibri"/>
          <w:b/>
          <w:color w:val="1C4ED1"/>
          <w:sz w:val="23"/>
        </w:rPr>
        <w:t>Condensed Project Handover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6F8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77A"/>
                <w:sz w:val="16"/>
              </w:rPr>
              <w:t>Project</w:t>
            </w:r>
          </w:p>
        </w:tc>
        <w:tc>
          <w:tcPr>
            <w:tcW w:type="dxa" w:w="35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40B37"/>
                <w:sz w:val="17"/>
              </w:rPr>
              <w:t>CSCN Learning Platform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6F8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77A"/>
                <w:sz w:val="16"/>
              </w:rPr>
              <w:t>Delivery</w:t>
            </w:r>
          </w:p>
        </w:tc>
        <w:tc>
          <w:tcPr>
            <w:tcW w:type="dxa" w:w="2952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40B37"/>
                <w:sz w:val="17"/>
              </w:rPr>
              <w:t>June 13, 2026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6F8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77A"/>
                <w:sz w:val="16"/>
              </w:rPr>
              <w:t>Version</w:t>
            </w:r>
          </w:p>
        </w:tc>
        <w:tc>
          <w:tcPr>
            <w:tcW w:type="dxa" w:w="35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40B37"/>
                <w:sz w:val="17"/>
              </w:rPr>
              <w:t>1.0.0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6F8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77A"/>
                <w:sz w:val="16"/>
              </w:rPr>
              <w:t>Prepared by</w:t>
            </w:r>
          </w:p>
        </w:tc>
        <w:tc>
          <w:tcPr>
            <w:tcW w:type="dxa" w:w="2952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40B37"/>
                <w:sz w:val="17"/>
              </w:rPr>
              <w:t>Emediong Peter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6F8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77A"/>
                <w:sz w:val="16"/>
              </w:rPr>
              <w:t>Production</w:t>
            </w:r>
          </w:p>
        </w:tc>
        <w:tc>
          <w:tcPr>
            <w:tcW w:type="dxa" w:w="35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40B37"/>
                <w:sz w:val="17"/>
              </w:rPr>
              <w:t>https://cscnnetwork.vercel.app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6F8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77A"/>
                <w:sz w:val="16"/>
              </w:rPr>
              <w:t>Repository</w:t>
            </w:r>
          </w:p>
        </w:tc>
        <w:tc>
          <w:tcPr>
            <w:tcW w:type="dxa" w:w="2952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40B37"/>
                <w:sz w:val="17"/>
              </w:rPr>
              <w:t>github.com/cdsspacecreativenetwork/cscn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6F8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77A"/>
                <w:sz w:val="16"/>
              </w:rPr>
              <w:t>Admin</w:t>
            </w:r>
          </w:p>
        </w:tc>
        <w:tc>
          <w:tcPr>
            <w:tcW w:type="dxa" w:w="3528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40B37"/>
                <w:sz w:val="17"/>
              </w:rPr>
              <w:t>/setup for first super admin; /dashboard/admin after setup</w:t>
            </w:r>
          </w:p>
        </w:tc>
        <w:tc>
          <w:tcPr>
            <w:tcW w:type="dxa" w:w="1440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6F8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77A"/>
                <w:sz w:val="16"/>
              </w:rPr>
              <w:t>Status</w:t>
            </w:r>
          </w:p>
        </w:tc>
        <w:tc>
          <w:tcPr>
            <w:tcW w:type="dxa" w:w="2952"/>
            <w:vAlign w:val="cente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40B37"/>
                <w:sz w:val="17"/>
              </w:rPr>
              <w:t>Production handover</w:t>
            </w:r>
          </w:p>
        </w:tc>
      </w:tr>
    </w:tbl>
    <w:p>
      <w:pPr>
        <w:spacing w:after="80"/>
      </w:pPr>
    </w:p>
    <w:p>
      <w:pPr>
        <w:pStyle w:val="Heading1"/>
        <w:spacing w:before="160" w:after="60"/>
      </w:pPr>
      <w:r>
        <w:rPr>
          <w:rFonts w:ascii="Calibri" w:hAnsi="Calibri"/>
          <w:b/>
          <w:color w:val="1C4ED1"/>
          <w:sz w:val="26"/>
        </w:rPr>
        <w:t>1. Executive Overview</w:t>
      </w:r>
    </w:p>
    <w:p>
      <w:pPr>
        <w:spacing w:before="0" w:after="80" w:line="269" w:lineRule="auto"/>
      </w:pPr>
      <w:r>
        <w:rPr>
          <w:rFonts w:ascii="Calibri" w:hAnsi="Calibri"/>
          <w:b w:val="0"/>
          <w:color w:val="040B37"/>
          <w:sz w:val="19"/>
        </w:rPr>
        <w:t>CSCN is a production-ready learning platform for online courses, instructor-led learning, mentorship bookings, student progress tracking, certificates, payments, and admin operations. The product supports three main workspaces: students learn and track progress, instructors create and manage learning experiences, and admins govern quality, users, finance, mentorship, announcements, permissions, and platform settings.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EF4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C4ED1"/>
                <w:sz w:val="18"/>
              </w:rPr>
              <w:t>Current production URL</w:t>
            </w:r>
          </w:p>
          <w:p>
            <w:pPr>
              <w:spacing w:after="0"/>
            </w:pPr>
            <w:r>
              <w:rPr>
                <w:rFonts w:ascii="Calibri" w:hAnsi="Calibri"/>
                <w:color w:val="040B37"/>
                <w:sz w:val="18"/>
              </w:rPr>
              <w:t>https://cscnnetwork.vercel.app | First-time super admin setup: /setup | Existing admin access: /dashboard/admin</w:t>
            </w:r>
          </w:p>
        </w:tc>
      </w:tr>
    </w:tbl>
    <w:p>
      <w:pPr>
        <w:spacing w:after="40"/>
      </w:pPr>
    </w:p>
    <w:p>
      <w:pPr>
        <w:pStyle w:val="Heading1"/>
        <w:spacing w:before="160" w:after="60"/>
      </w:pPr>
      <w:r>
        <w:rPr>
          <w:rFonts w:ascii="Calibri" w:hAnsi="Calibri"/>
          <w:b/>
          <w:color w:val="1C4ED1"/>
          <w:sz w:val="26"/>
        </w:rPr>
        <w:t>2. Core Features Delivered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FFFFFF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C4ED1"/>
                <w:sz w:val="20"/>
              </w:rPr>
              <w:t>Learning and creator experience</w:t>
            </w:r>
          </w:p>
          <w:p>
            <w:pPr>
              <w:pStyle w:val="CompactBullet"/>
              <w:spacing w:after="20"/>
            </w:pPr>
            <w:r>
              <w:rPr>
                <w:rFonts w:ascii="Calibri" w:hAnsi="Calibri"/>
                <w:color w:val="040B37"/>
                <w:sz w:val="17"/>
              </w:rPr>
              <w:t>Student dashboard, enrollment, purchases, progress, certificates, achievements, and schedules.</w:t>
            </w:r>
          </w:p>
          <w:p>
            <w:pPr>
              <w:pStyle w:val="CompactBullet"/>
              <w:spacing w:after="20"/>
            </w:pPr>
            <w:r>
              <w:rPr>
                <w:rFonts w:ascii="Calibri" w:hAnsi="Calibri"/>
                <w:color w:val="040B37"/>
                <w:sz w:val="17"/>
              </w:rPr>
              <w:t>Instructor studio with settings, pricing, thumbnails, modules, lessons-only courses, articles, video, quizzes, resources, timestamps, and revision workflow.</w:t>
            </w:r>
          </w:p>
          <w:p>
            <w:pPr>
              <w:pStyle w:val="CompactBullet"/>
              <w:spacing w:after="20"/>
            </w:pPr>
            <w:r>
              <w:rPr>
                <w:rFonts w:ascii="Calibri" w:hAnsi="Calibri"/>
                <w:color w:val="040B37"/>
                <w:sz w:val="17"/>
              </w:rPr>
              <w:t>Mentorship availability, booking engine, paid/free sessions, Google Calendar groundwork, and instructor booking management.</w:t>
            </w:r>
          </w:p>
          <w:p>
            <w:pPr>
              <w:pStyle w:val="CompactBullet"/>
              <w:spacing w:after="20"/>
            </w:pPr>
            <w:r>
              <w:rPr>
                <w:rFonts w:ascii="Calibri" w:hAnsi="Calibri"/>
                <w:color w:val="040B37"/>
                <w:sz w:val="17"/>
              </w:rPr>
              <w:t>Course player with lesson navigation, preview handling, resources, notes, transcripts, and next-lesson flow.</w:t>
            </w:r>
          </w:p>
        </w:tc>
        <w:tc>
          <w:tcPr>
            <w:tcW w:type="dxa" w:w="4608"/>
            <w:shd w:fill="FFFFFF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C4ED1"/>
                <w:sz w:val="20"/>
              </w:rPr>
              <w:t>Admin and platform operations</w:t>
            </w:r>
          </w:p>
          <w:p>
            <w:pPr>
              <w:pStyle w:val="CompactBullet"/>
              <w:spacing w:after="20"/>
            </w:pPr>
            <w:r>
              <w:rPr>
                <w:rFonts w:ascii="Calibri" w:hAnsi="Calibri"/>
                <w:color w:val="040B37"/>
                <w:sz w:val="17"/>
              </w:rPr>
              <w:t>Admin command center, course governance, review queue, published-course update review, and pricing review.</w:t>
            </w:r>
          </w:p>
          <w:p>
            <w:pPr>
              <w:pStyle w:val="CompactBullet"/>
              <w:spacing w:after="20"/>
            </w:pPr>
            <w:r>
              <w:rPr>
                <w:rFonts w:ascii="Calibri" w:hAnsi="Calibri"/>
                <w:color w:val="040B37"/>
                <w:sz w:val="17"/>
              </w:rPr>
              <w:t>User, instructor, student, permission, invite, announcement, billing, audit log, and platform settings areas.</w:t>
            </w:r>
          </w:p>
          <w:p>
            <w:pPr>
              <w:pStyle w:val="CompactBullet"/>
              <w:spacing w:after="20"/>
            </w:pPr>
            <w:r>
              <w:rPr>
                <w:rFonts w:ascii="Calibri" w:hAnsi="Calibri"/>
                <w:color w:val="040B37"/>
                <w:sz w:val="17"/>
              </w:rPr>
              <w:t>Notifications, email reminders, cron-protected maintenance, and schedule/session lifecycle handling.</w:t>
            </w:r>
          </w:p>
          <w:p>
            <w:pPr>
              <w:pStyle w:val="CompactBullet"/>
              <w:spacing w:after="20"/>
            </w:pPr>
            <w:r>
              <w:rPr>
                <w:rFonts w:ascii="Calibri" w:hAnsi="Calibri"/>
                <w:color w:val="040B37"/>
                <w:sz w:val="17"/>
              </w:rPr>
              <w:t>Paystack groundwork for course purchases, mentorship payments, instructor earnings, and payout visibility.</w:t>
            </w:r>
          </w:p>
        </w:tc>
      </w:tr>
    </w:tbl>
    <w:p>
      <w:pPr>
        <w:spacing w:after="40"/>
      </w:pPr>
    </w:p>
    <w:p>
      <w:pPr>
        <w:pStyle w:val="Heading1"/>
        <w:spacing w:before="160" w:after="60"/>
      </w:pPr>
      <w:r>
        <w:rPr>
          <w:rFonts w:ascii="Calibri" w:hAnsi="Calibri"/>
          <w:b/>
          <w:color w:val="1C4ED1"/>
          <w:sz w:val="26"/>
        </w:rPr>
        <w:t>3. Technical Stack and Ownership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Frontend and application layer: Next.js, React, TypeScript, Tailwind CSS, custom design system, server actions, API routes, and server-side data access.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Authentication: Auth.js / NextAuth with role-aware dashboard routing and OAuth support.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Database: PostgreSQL with Prisma ORM, hosted on the company production Neon database.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Storage and media: Supabase Storage buckets for uploaded assets; Mux integration for course video upload, transcripts, and video analytics where applicable.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Payments and email: Paystack integration for payments; Nodemailer for transactional email delivery.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Hosting: Vercel is the active production host. Glash is a planned alternative after resolving its build issue with NextAuth catch-all route paths.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Version control: GitHub repository under the CSCN organization: https://github.com/cdsspacecreativenetwork/cscn/.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1C4ED1"/>
          <w:sz w:val="26"/>
        </w:rPr>
        <w:t>4. Environment and Credentials</w:t>
      </w:r>
    </w:p>
    <w:p>
      <w:pPr>
        <w:spacing w:before="0" w:after="80" w:line="269" w:lineRule="auto"/>
      </w:pPr>
      <w:r>
        <w:rPr>
          <w:rFonts w:ascii="Calibri" w:hAnsi="Calibri"/>
          <w:b w:val="0"/>
          <w:color w:val="5B677A"/>
          <w:sz w:val="18"/>
        </w:rPr>
        <w:t>Actual secret values should not be stored in this document. Share production secrets through a secure vault or directly inside encrypted deployment environment variables.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Required groups: app/auth, database, Google OAuth/Calendar, Supabase, Paystack, SMTP email, cron, and Mux.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Key identifiers include NEXTAUTH_URL, NEXTAUTH_SECRET/AUTH_SECRET, APP_URL, DATABASE_URL, DIRECT_URL, Google OAuth and Calendar credentials, Supabase URL/keys/bucket, Paystack secret/public/webhook keys, SMTP settings, CRON_SECRET, and Mux credentials.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Paystack note: company Paystack access is still required. Development currently used a non-company Paystack secret because company access was unavailable.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Google note: the OAuth app should be owned by the company Google account and may need production verification for calendar access beyond test users.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1C4ED1"/>
          <w:sz w:val="26"/>
        </w:rPr>
        <w:t>5. Deployment and Operations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Production runs on Vercel at https://cscnnetwork.vercel.app. Confirm all production env vars before every launch deployment.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Glash deployment currently fails because the platform rejects app/api/auth/[...nextauth]/route.ts as an unsafe zip path. This should be resolved with Glash support before relying on Glash production hosting.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Cron jobs are protected by CRON_SECRET. External cron services such as cron-job.org can be used for frequent jobs if Vercel Hobby cron limits are restrictive.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Recommended launch checks: authentication, admin setup, course creation/review, course playback, paid course purchase, mentorship booking, email delivery, cron endpoint, uploaded media, and mobile dashboard/player UX.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1C4ED1"/>
          <w:sz w:val="26"/>
        </w:rPr>
        <w:t>6. Known Limitations and Follow-Up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Daily automated database backups are not yet configured; enable Neon backups or define a backup/restore policy before full launch.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Supabase bucket ownership and any remaining uploaded files should be transferred or migrated into the company Supabase project.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Full finance policy is still needed for refunds, payout timing, and settlement reconciliation.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Google Calendar is the first supported calendar provider; Microsoft/Zoom can be added later.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Certificate and achievement sharing templates should be finalized for social/open-graph marketing use.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1C4ED1"/>
          <w:sz w:val="26"/>
        </w:rPr>
        <w:t>7. Client Next Steps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Provide company Paystack access or production API keys.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Confirm ownership of Neon, Supabase, Vercel, GitHub, Google OAuth, Mux, and email credentials.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Enable database backups and confirm restore process.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Submit Google OAuth verification if required by selected scopes.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Run final acceptance testing with student, instructor, and admin accounts.</w:t>
      </w:r>
    </w:p>
    <w:p>
      <w:pPr>
        <w:pStyle w:val="CompactBullet"/>
        <w:spacing w:after="40"/>
      </w:pPr>
      <w:r>
        <w:rPr>
          <w:rFonts w:ascii="Calibri" w:hAnsi="Calibri"/>
          <w:color w:val="040B37"/>
          <w:sz w:val="19"/>
        </w:rPr>
        <w:t>Approve launch readiness and payment settlement for delivered work.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1C4ED1"/>
          <w:sz w:val="26"/>
        </w:rPr>
        <w:t>8. Acceptance</w:t>
      </w:r>
    </w:p>
    <w:p>
      <w:pPr>
        <w:spacing w:before="0" w:after="80" w:line="269" w:lineRule="auto"/>
      </w:pPr>
      <w:r>
        <w:rPr>
          <w:rFonts w:ascii="Calibri" w:hAnsi="Calibri"/>
          <w:b w:val="0"/>
          <w:color w:val="040B37"/>
          <w:sz w:val="19"/>
        </w:rPr>
        <w:t>The client acknowledges receipt of the CSCN Learning Platform source code, production deployment guidance, infrastructure notes, and handover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5B677A"/>
                <w:sz w:val="17"/>
              </w:rPr>
              <w:t>Client Name / Signature / Date</w:t>
            </w:r>
          </w:p>
        </w:tc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5B677A"/>
                <w:sz w:val="17"/>
              </w:rPr>
              <w:t>Developer: Emediong Peter / Signature / Date</w:t>
            </w:r>
          </w:p>
        </w:tc>
      </w:tr>
      <w:tr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br/>
              <w:br/>
            </w:r>
          </w:p>
        </w:tc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br/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835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A"/>
        <w:sz w:val="16"/>
      </w:rPr>
      <w:t>CSCN Learning Platform handover | Confidential client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040B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C4ED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40B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40B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40" w:line="259" w:lineRule="auto"/>
      <w:ind w:left="288" w:hanging="173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