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67"/>
        <w:gridCol w:w="3514"/>
        <w:gridCol w:w="98"/>
        <w:gridCol w:w="3301"/>
      </w:tblGrid>
      <w:tr w:rsidR="00D60239" w:rsidRPr="008D0E52" w14:paraId="4FF10CC0" w14:textId="77777777" w:rsidTr="00192244">
        <w:trPr>
          <w:trHeight w:val="126"/>
        </w:trPr>
        <w:tc>
          <w:tcPr>
            <w:tcW w:w="1579" w:type="pct"/>
            <w:shd w:val="clear" w:color="auto" w:fill="auto"/>
          </w:tcPr>
          <w:p w14:paraId="331D5990" w14:textId="203827EC" w:rsidR="00D60239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300 W 60th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St</w:t>
            </w:r>
          </w:p>
          <w:p w14:paraId="0801B598" w14:textId="3B753F35" w:rsidR="00D52906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Westmont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IL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60559</w:t>
            </w:r>
          </w:p>
        </w:tc>
        <w:tc>
          <w:tcPr>
            <w:tcW w:w="1751" w:type="pct"/>
            <w:shd w:val="clear" w:color="auto" w:fill="auto"/>
          </w:tcPr>
          <w:p w14:paraId="44A0383F" w14:textId="1044CE34" w:rsidR="00D60239" w:rsidRPr="008D0E52" w:rsidRDefault="0003690D" w:rsidP="00B8726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pacing w:val="40"/>
                <w:sz w:val="36"/>
                <w:szCs w:val="44"/>
              </w:rPr>
              <w:t>Sudheer Chunduri</w:t>
            </w:r>
          </w:p>
        </w:tc>
        <w:tc>
          <w:tcPr>
            <w:tcW w:w="1669" w:type="pct"/>
            <w:gridSpan w:val="2"/>
            <w:shd w:val="clear" w:color="auto" w:fill="auto"/>
          </w:tcPr>
          <w:p w14:paraId="7906AD88" w14:textId="37A6C3C6" w:rsidR="00115032" w:rsidRDefault="00C87D5E" w:rsidP="0002720B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6" w:history="1">
              <w:r w:rsidR="0049365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https://www.linkedin.com/in/sudheer-chunduri/</w:t>
              </w:r>
            </w:hyperlink>
          </w:p>
          <w:p w14:paraId="36DCCEA9" w14:textId="08E29F51" w:rsidR="00D60239" w:rsidRPr="008D0E52" w:rsidRDefault="000F40FB" w:rsidP="0002720B">
            <w:pPr>
              <w:jc w:val="right"/>
              <w:rPr>
                <w:rFonts w:asciiTheme="minorHAnsi" w:hAnsiTheme="minorHAnsi" w:cstheme="minorHAnsi"/>
                <w:smallCaps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3690D" w:rsidRPr="008D0E52">
              <w:rPr>
                <w:rFonts w:asciiTheme="minorHAnsi" w:hAnsiTheme="minorHAnsi" w:cstheme="minorHAnsi"/>
                <w:sz w:val="20"/>
                <w:szCs w:val="20"/>
              </w:rPr>
              <w:t>udheerc.atwork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@gmail.com</w:t>
            </w:r>
          </w:p>
        </w:tc>
      </w:tr>
      <w:tr w:rsidR="00741CF2" w:rsidRPr="008D0E52" w14:paraId="0BD42372" w14:textId="77777777" w:rsidTr="00192244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B57EF3" w14:textId="3CA83868" w:rsidR="00741CF2" w:rsidRPr="008D0E52" w:rsidRDefault="007F46BB" w:rsidP="00191E8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Executive Summary</w:t>
            </w:r>
          </w:p>
        </w:tc>
      </w:tr>
      <w:tr w:rsidR="00741CF2" w:rsidRPr="008D0E52" w14:paraId="66227378" w14:textId="77777777" w:rsidTr="00192244">
        <w:trPr>
          <w:trHeight w:val="21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A57AFE7" w14:textId="1EF6CF80" w:rsidR="00741CF2" w:rsidRDefault="007F46BB" w:rsidP="007F46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My background in research and software development was in the space of system-level performance 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specifically focusing on co-design, characterization and monitoring of various production HPC interconnects and workloads. Earlier, I have worked on node-level and core-level performance tuning. I have developed various analysis tools for system monitoring and contributed to production software packages.  </w:t>
            </w:r>
          </w:p>
          <w:p w14:paraId="646086DB" w14:textId="5982A7EE" w:rsidR="007F46BB" w:rsidRPr="007F46BB" w:rsidRDefault="007F46BB" w:rsidP="007F46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am a passionate hands-on 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>engineer interested to contribute to performance optimization across the stack with potential focus on scaling optimization for AI and HPC workloads in Cloud and on-premise</w:t>
            </w:r>
            <w:r w:rsidR="009F6EB6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 xml:space="preserve"> systems.</w:t>
            </w:r>
          </w:p>
        </w:tc>
      </w:tr>
      <w:tr w:rsidR="00D60239" w:rsidRPr="008D0E52" w14:paraId="4DB8F586" w14:textId="77777777" w:rsidTr="00192244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82F60B" w14:textId="77777777" w:rsidR="00191E83" w:rsidRPr="008D0E52" w:rsidRDefault="00191E83" w:rsidP="00191E8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425EB19" w14:textId="77777777" w:rsidR="00D60239" w:rsidRPr="008D0E52" w:rsidRDefault="00D60239" w:rsidP="00E73070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D0E52" w14:paraId="3F7BBE90" w14:textId="77777777" w:rsidTr="00192244">
        <w:trPr>
          <w:trHeight w:val="285"/>
        </w:trPr>
        <w:tc>
          <w:tcPr>
            <w:tcW w:w="1579" w:type="pct"/>
            <w:tcBorders>
              <w:top w:val="single" w:sz="4" w:space="0" w:color="auto"/>
            </w:tcBorders>
            <w:shd w:val="clear" w:color="auto" w:fill="auto"/>
          </w:tcPr>
          <w:p w14:paraId="4BAFEE8B" w14:textId="19D568B6" w:rsidR="00F54241" w:rsidRPr="008D0E52" w:rsidRDefault="000F40FB" w:rsidP="00E730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Computer Scientist</w:t>
            </w:r>
          </w:p>
        </w:tc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</w:tcPr>
          <w:p w14:paraId="375F34AC" w14:textId="57D96029" w:rsidR="0004663E" w:rsidRPr="008D0E52" w:rsidRDefault="0004663E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0F40FB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rgonne National Lab</w:t>
            </w:r>
            <w:r w:rsidR="001F029E">
              <w:rPr>
                <w:rFonts w:asciiTheme="minorHAnsi" w:hAnsiTheme="minorHAnsi" w:cstheme="minorHAnsi"/>
                <w:b/>
                <w:sz w:val="22"/>
                <w:szCs w:val="22"/>
              </w:rPr>
              <w:t>oratory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A746CB8" w14:textId="42292059" w:rsidR="00F54241" w:rsidRPr="008D0E52" w:rsidRDefault="00E31629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April 2022</w:t>
            </w:r>
            <w:r w:rsidR="000F40FB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present</w:t>
            </w:r>
          </w:p>
        </w:tc>
      </w:tr>
      <w:tr w:rsidR="0004663E" w:rsidRPr="008D0E52" w14:paraId="528ADE70" w14:textId="77777777" w:rsidTr="00192244">
        <w:trPr>
          <w:trHeight w:val="692"/>
        </w:trPr>
        <w:tc>
          <w:tcPr>
            <w:tcW w:w="5000" w:type="pct"/>
            <w:gridSpan w:val="4"/>
            <w:shd w:val="clear" w:color="auto" w:fill="auto"/>
          </w:tcPr>
          <w:p w14:paraId="6D5C9198" w14:textId="6D76AC15" w:rsidR="000F40FB" w:rsidRPr="008D0E52" w:rsidRDefault="002724C0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Conduc</w:t>
            </w:r>
            <w:r w:rsidR="00E31629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research and development activities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optimization and analysis of large-scale HPC systems with 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specific focus on </w:t>
            </w:r>
            <w:r w:rsidR="00B30234">
              <w:rPr>
                <w:rFonts w:asciiTheme="minorHAnsi" w:hAnsiTheme="minorHAnsi" w:cstheme="minorHAnsi"/>
                <w:sz w:val="22"/>
                <w:szCs w:val="22"/>
              </w:rPr>
              <w:t xml:space="preserve">Exascale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>interconnects and distributed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-memory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programming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(MPI)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4DF3B3" w14:textId="4E6C9DE9" w:rsidR="00F53385" w:rsidRPr="00E31629" w:rsidRDefault="002135B5" w:rsidP="00E3162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Contribute to the software development of major software projects such as MPICH (</w:t>
            </w:r>
            <w:r w:rsidR="00E66E15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https://github.com/sudheer9/mpich</w:t>
            </w:r>
            <w:r w:rsidR="00AF7E0A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E66E1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7E0A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https://github.com/sudheer9/yaksa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>) and Darshan (https://github.com/sudheer9/darshan</w:t>
            </w:r>
            <w:r w:rsidR="00C2139A" w:rsidRPr="00AF7E0A"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 xml:space="preserve"> analysis methods for HPC interconnect performance evaluation</w:t>
            </w:r>
            <w:r w:rsidR="009636E8" w:rsidRPr="00AF7E0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31629" w:rsidRPr="008D0E52" w14:paraId="57C04BE5" w14:textId="77777777" w:rsidTr="00192244">
        <w:trPr>
          <w:trHeight w:val="197"/>
        </w:trPr>
        <w:tc>
          <w:tcPr>
            <w:tcW w:w="1579" w:type="pct"/>
            <w:shd w:val="clear" w:color="auto" w:fill="auto"/>
          </w:tcPr>
          <w:p w14:paraId="61D18143" w14:textId="4A010116" w:rsidR="00E31629" w:rsidRDefault="00E31629" w:rsidP="00E316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Computer Scientist</w:t>
            </w:r>
          </w:p>
        </w:tc>
        <w:tc>
          <w:tcPr>
            <w:tcW w:w="1751" w:type="pct"/>
            <w:shd w:val="clear" w:color="auto" w:fill="auto"/>
          </w:tcPr>
          <w:p w14:paraId="3D58D7CF" w14:textId="54080859" w:rsidR="00E31629" w:rsidRPr="00E31629" w:rsidRDefault="00E31629" w:rsidP="00E3162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316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Argonne National Laboratory</w:t>
            </w:r>
          </w:p>
        </w:tc>
        <w:tc>
          <w:tcPr>
            <w:tcW w:w="1669" w:type="pct"/>
            <w:gridSpan w:val="2"/>
            <w:shd w:val="clear" w:color="auto" w:fill="auto"/>
          </w:tcPr>
          <w:p w14:paraId="4968E259" w14:textId="25D157F6" w:rsidR="00E31629" w:rsidRPr="00E31629" w:rsidRDefault="00E31629" w:rsidP="00E31629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June 2017 – March 2022</w:t>
            </w:r>
          </w:p>
        </w:tc>
      </w:tr>
      <w:tr w:rsidR="00E31629" w:rsidRPr="008D0E52" w14:paraId="4DB8C8E8" w14:textId="77777777" w:rsidTr="00192244">
        <w:trPr>
          <w:trHeight w:val="692"/>
        </w:trPr>
        <w:tc>
          <w:tcPr>
            <w:tcW w:w="5000" w:type="pct"/>
            <w:gridSpan w:val="4"/>
            <w:shd w:val="clear" w:color="auto" w:fill="auto"/>
          </w:tcPr>
          <w:p w14:paraId="418FBE33" w14:textId="77777777" w:rsidR="00E31629" w:rsidRPr="00C92CE8" w:rsidRDefault="00E31629" w:rsidP="00E316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Analyzed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approaches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hat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reduce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run-to-run variability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impro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up to 12% for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These helped reduce overall network congestion, these are deployed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NERSC and ALCF.</w:t>
            </w:r>
          </w:p>
          <w:p w14:paraId="5474B494" w14:textId="77777777" w:rsidR="00E31629" w:rsidRDefault="00E31629" w:rsidP="00E316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Involved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the development of a benchmark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has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presently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become a standard for measuring congestion effects on HPC interconnects and used as a metric for future system procurements.</w:t>
            </w:r>
          </w:p>
          <w:p w14:paraId="5DCACC61" w14:textId="77777777" w:rsidR="00E31629" w:rsidRPr="00D451B5" w:rsidRDefault="00E31629" w:rsidP="00E316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Implemented and optimized the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MPICH support for AMD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GPU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hi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base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will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tilized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MPI installations on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’s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first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xascale</w:t>
            </w:r>
            <w:proofErr w:type="spellEnd"/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system, Frontier, and other systems.</w:t>
            </w:r>
          </w:p>
          <w:p w14:paraId="072C68AF" w14:textId="6ABA642B" w:rsidR="00E31629" w:rsidRPr="00E31629" w:rsidRDefault="00E31629" w:rsidP="00E316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Authored top-tier conference papers regularly as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author and contributor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87264" w:rsidRPr="008D0E52" w14:paraId="3EF31D68" w14:textId="77777777" w:rsidTr="00192244">
        <w:trPr>
          <w:trHeight w:val="285"/>
        </w:trPr>
        <w:tc>
          <w:tcPr>
            <w:tcW w:w="1579" w:type="pct"/>
            <w:shd w:val="clear" w:color="auto" w:fill="auto"/>
          </w:tcPr>
          <w:p w14:paraId="3484424F" w14:textId="6FB8F23F" w:rsidR="0004663E" w:rsidRPr="008D0E52" w:rsidRDefault="00E44803" w:rsidP="00E73070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Postdoctoral Appointee</w:t>
            </w:r>
            <w:r w:rsidR="00E616AF"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51" w:type="pct"/>
            <w:shd w:val="clear" w:color="auto" w:fill="auto"/>
          </w:tcPr>
          <w:p w14:paraId="50F09F73" w14:textId="142029A9" w:rsidR="0004663E" w:rsidRPr="008D0E52" w:rsidRDefault="00E44803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Argonne National Lab</w:t>
            </w:r>
            <w:r w:rsidR="001F029E">
              <w:rPr>
                <w:rFonts w:asciiTheme="minorHAnsi" w:hAnsiTheme="minorHAnsi" w:cstheme="minorHAnsi"/>
                <w:sz w:val="22"/>
                <w:szCs w:val="22"/>
              </w:rPr>
              <w:t>oratory</w:t>
            </w:r>
          </w:p>
        </w:tc>
        <w:tc>
          <w:tcPr>
            <w:tcW w:w="1669" w:type="pct"/>
            <w:gridSpan w:val="2"/>
            <w:shd w:val="clear" w:color="auto" w:fill="auto"/>
          </w:tcPr>
          <w:p w14:paraId="3A21D4F2" w14:textId="768A4DAE" w:rsidR="0004663E" w:rsidRPr="008D0E52" w:rsidRDefault="00E44803" w:rsidP="00E6615D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16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17</w:t>
            </w:r>
          </w:p>
        </w:tc>
      </w:tr>
      <w:tr w:rsidR="00F54241" w:rsidRPr="008D0E52" w14:paraId="0796B8DE" w14:textId="77777777" w:rsidTr="00192244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36E71A82" w14:textId="4AAB0B2E" w:rsidR="00E44803" w:rsidRPr="008D0E52" w:rsidRDefault="008455CB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Designed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analytical models for workload performance evaluation on Intel’s many-core hardware. </w:t>
            </w:r>
          </w:p>
          <w:p w14:paraId="5AF0D081" w14:textId="653386C5" w:rsidR="00E44803" w:rsidRPr="008D0E52" w:rsidRDefault="006807D2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k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ey contributor to the machine acceptance of a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>supercomput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that was featured in the top-10 supercomputers.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The work was performed in close collaboration with Intel and Cray under tight deadline.</w:t>
            </w:r>
          </w:p>
          <w:p w14:paraId="2214809D" w14:textId="77777777" w:rsidR="00882A29" w:rsidRPr="008D0E52" w:rsidRDefault="00882A29" w:rsidP="00882A29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3F7AC688" w14:textId="77777777" w:rsidTr="00192244">
        <w:trPr>
          <w:trHeight w:val="150"/>
        </w:trPr>
        <w:tc>
          <w:tcPr>
            <w:tcW w:w="1579" w:type="pct"/>
            <w:shd w:val="clear" w:color="auto" w:fill="auto"/>
          </w:tcPr>
          <w:p w14:paraId="3C3EC81B" w14:textId="4B85092E" w:rsidR="00872528" w:rsidRPr="008D0E52" w:rsidRDefault="00E44803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Researcher</w:t>
            </w:r>
          </w:p>
        </w:tc>
        <w:tc>
          <w:tcPr>
            <w:tcW w:w="1751" w:type="pct"/>
            <w:shd w:val="clear" w:color="auto" w:fill="auto"/>
          </w:tcPr>
          <w:p w14:paraId="4F8F9B22" w14:textId="2072CF58" w:rsidR="00872528" w:rsidRPr="008D0E52" w:rsidRDefault="00E44803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IBM Research India</w:t>
            </w:r>
          </w:p>
        </w:tc>
        <w:tc>
          <w:tcPr>
            <w:tcW w:w="1669" w:type="pct"/>
            <w:gridSpan w:val="2"/>
            <w:shd w:val="clear" w:color="auto" w:fill="auto"/>
          </w:tcPr>
          <w:p w14:paraId="533F53B2" w14:textId="343FB2CD" w:rsidR="00872528" w:rsidRPr="008D0E52" w:rsidRDefault="00E44803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June 2013</w:t>
            </w:r>
            <w:r w:rsidR="00872528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May </w:t>
            </w:r>
            <w:r w:rsidR="00E6615D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</w:t>
            </w:r>
          </w:p>
        </w:tc>
      </w:tr>
      <w:tr w:rsidR="00872528" w:rsidRPr="008D0E52" w14:paraId="7DC3D941" w14:textId="77777777" w:rsidTr="00192244">
        <w:trPr>
          <w:trHeight w:val="525"/>
        </w:trPr>
        <w:tc>
          <w:tcPr>
            <w:tcW w:w="5000" w:type="pct"/>
            <w:gridSpan w:val="4"/>
            <w:shd w:val="clear" w:color="auto" w:fill="auto"/>
          </w:tcPr>
          <w:p w14:paraId="05F3E043" w14:textId="091F7AD3" w:rsidR="003D2D96" w:rsidRDefault="007F5139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Key contributor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 the performance evaluation and optimization of production applications in the Oil &amp; Gas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domain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on IBM Blue Gene systems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coordinated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a multi-lab collaboration as co-lead contributor.</w:t>
            </w:r>
          </w:p>
          <w:p w14:paraId="49E9330C" w14:textId="52022B98" w:rsidR="00E44803" w:rsidRPr="003D2D96" w:rsidRDefault="00E44803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Optimized MPI performance on POWER8 processor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with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order of magnitude better latency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the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IBM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Spectrum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MPI implementation.</w:t>
            </w:r>
          </w:p>
          <w:p w14:paraId="46030AD8" w14:textId="77777777" w:rsidR="00882A29" w:rsidRPr="008D0E52" w:rsidRDefault="00882A29" w:rsidP="00855E2C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16A38B08" w14:textId="77777777" w:rsidTr="00192244">
        <w:trPr>
          <w:trHeight w:val="80"/>
        </w:trPr>
        <w:tc>
          <w:tcPr>
            <w:tcW w:w="1579" w:type="pct"/>
            <w:shd w:val="clear" w:color="auto" w:fill="auto"/>
          </w:tcPr>
          <w:p w14:paraId="5D729C2E" w14:textId="4DF67DE7" w:rsidR="00F54241" w:rsidRPr="008D0E52" w:rsidRDefault="00EA074D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Professor</w:t>
            </w:r>
          </w:p>
        </w:tc>
        <w:tc>
          <w:tcPr>
            <w:tcW w:w="1751" w:type="pct"/>
            <w:shd w:val="clear" w:color="auto" w:fill="auto"/>
          </w:tcPr>
          <w:p w14:paraId="10DE7D6F" w14:textId="68DECE3F" w:rsidR="00F54241" w:rsidRPr="008D0E52" w:rsidRDefault="00EA074D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SSSIHL India</w:t>
            </w:r>
          </w:p>
        </w:tc>
        <w:tc>
          <w:tcPr>
            <w:tcW w:w="1669" w:type="pct"/>
            <w:gridSpan w:val="2"/>
            <w:shd w:val="clear" w:color="auto" w:fill="auto"/>
          </w:tcPr>
          <w:p w14:paraId="427ED44E" w14:textId="2DA7EBDB" w:rsidR="00F54241" w:rsidRPr="008D0E52" w:rsidRDefault="00EA074D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May 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</w:tr>
      <w:tr w:rsidR="00872528" w:rsidRPr="008D0E52" w14:paraId="0C447338" w14:textId="77777777" w:rsidTr="00192244">
        <w:trPr>
          <w:trHeight w:val="1268"/>
        </w:trPr>
        <w:tc>
          <w:tcPr>
            <w:tcW w:w="5000" w:type="pct"/>
            <w:gridSpan w:val="4"/>
            <w:shd w:val="clear" w:color="auto" w:fill="auto"/>
          </w:tcPr>
          <w:p w14:paraId="0BC9515E" w14:textId="604FBCCA" w:rsidR="004153DB" w:rsidRPr="008D0E52" w:rsidRDefault="007F5139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Introduced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two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novel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courses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and redesigned existing courses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HPC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area 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>such as parallel programming with GPU accelerators and programming for performance using the NSF XESDE supercomputer allocations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D49F427" w14:textId="7B4B748A" w:rsidR="00F33544" w:rsidRPr="008D0E52" w:rsidRDefault="004153DB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Innovated on the course delivery in collaboration with Industry experts 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advised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students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securing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four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Best poster and presentation awards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proofErr w:type="spellStart"/>
            <w:r w:rsidR="003A5716">
              <w:rPr>
                <w:rFonts w:asciiTheme="minorHAnsi" w:hAnsiTheme="minorHAnsi" w:cstheme="minorHAnsi"/>
                <w:sz w:val="22"/>
                <w:szCs w:val="22"/>
              </w:rPr>
              <w:t>HiPC</w:t>
            </w:r>
            <w:proofErr w:type="spellEnd"/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conference in 2012.</w:t>
            </w:r>
          </w:p>
          <w:p w14:paraId="29285B54" w14:textId="77777777" w:rsidR="00882A29" w:rsidRPr="008D0E52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555" w:rsidRPr="008D0E52" w14:paraId="0CF8B80A" w14:textId="77777777" w:rsidTr="00192244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04ECAF" w14:textId="77777777" w:rsidR="008A4555" w:rsidRPr="008D0E52" w:rsidRDefault="008A4555" w:rsidP="00E73070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D0E52" w14:paraId="5122CF1C" w14:textId="77777777" w:rsidTr="00192244">
        <w:tc>
          <w:tcPr>
            <w:tcW w:w="1579" w:type="pct"/>
            <w:tcBorders>
              <w:top w:val="single" w:sz="4" w:space="0" w:color="auto"/>
            </w:tcBorders>
            <w:shd w:val="clear" w:color="auto" w:fill="auto"/>
          </w:tcPr>
          <w:p w14:paraId="3CB90F88" w14:textId="4EC94915" w:rsidR="00F54241" w:rsidRPr="008D0E52" w:rsidRDefault="00CC2864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Ph.D., Computer Science</w:t>
            </w:r>
          </w:p>
        </w:tc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</w:tcPr>
          <w:p w14:paraId="22959B37" w14:textId="68598BE5" w:rsidR="00F54241" w:rsidRPr="008D0E52" w:rsidRDefault="00CC2864" w:rsidP="00855E2C">
            <w:pPr>
              <w:ind w:left="7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0705968" w14:textId="2C612A9F" w:rsidR="00F54241" w:rsidRPr="008D0E52" w:rsidRDefault="00CC2864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May 20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</w:tc>
      </w:tr>
      <w:tr w:rsidR="00F54241" w:rsidRPr="008D0E52" w14:paraId="39E3401F" w14:textId="77777777" w:rsidTr="00192244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44046551" w14:textId="40FB455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and routing aware mapping tool for massively parallel processors</w:t>
            </w:r>
            <w:r w:rsidR="002F2354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, specifically relevant for Tori </w:t>
            </w:r>
          </w:p>
          <w:p w14:paraId="77AFB0A9" w14:textId="7777777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aware implementation of Global Arrays data management for QMCPACK</w:t>
            </w:r>
          </w:p>
          <w:p w14:paraId="2A19343D" w14:textId="1C6FAEDF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Optimal dynamic load balancing algorithm for large</w:t>
            </w:r>
            <w:r w:rsidR="00EE291A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scale codes </w:t>
            </w:r>
            <w:r w:rsidR="009C217B" w:rsidRPr="008D0E52">
              <w:rPr>
                <w:rFonts w:asciiTheme="minorHAnsi" w:hAnsiTheme="minorHAnsi" w:cstheme="minorHAnsi"/>
                <w:sz w:val="22"/>
                <w:szCs w:val="20"/>
              </w:rPr>
              <w:t>involving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identical computational tasks</w:t>
            </w:r>
          </w:p>
          <w:p w14:paraId="23F5D0EB" w14:textId="21A2B4DA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Optimizing assignment of threads to SPEs on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IBM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Cell BE 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>for improved communication performance</w:t>
            </w:r>
          </w:p>
          <w:p w14:paraId="4463DF5C" w14:textId="77777777" w:rsidR="004153DB" w:rsidRDefault="00CC2864" w:rsidP="0019224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Advisor: Prof. Ashok Srinivasan, Florida State University</w:t>
            </w:r>
          </w:p>
          <w:p w14:paraId="0F89F0B0" w14:textId="74B0F996" w:rsidR="00192244" w:rsidRPr="00192244" w:rsidRDefault="00192244" w:rsidP="00192244">
            <w:pPr>
              <w:ind w:left="252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173C9C" w:rsidRPr="008D0E52" w14:paraId="683042F5" w14:textId="77777777" w:rsidTr="00192244">
        <w:tc>
          <w:tcPr>
            <w:tcW w:w="1579" w:type="pct"/>
            <w:shd w:val="clear" w:color="auto" w:fill="auto"/>
          </w:tcPr>
          <w:p w14:paraId="631F77F7" w14:textId="52C0118B" w:rsidR="00173C9C" w:rsidRPr="008D0E52" w:rsidRDefault="00173C9C" w:rsidP="00173C9C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M.Tech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., Computer Science</w:t>
            </w:r>
          </w:p>
        </w:tc>
        <w:tc>
          <w:tcPr>
            <w:tcW w:w="1799" w:type="pct"/>
            <w:gridSpan w:val="2"/>
            <w:shd w:val="clear" w:color="auto" w:fill="auto"/>
          </w:tcPr>
          <w:p w14:paraId="494A1CC4" w14:textId="1936503A" w:rsidR="00173C9C" w:rsidRPr="008D0E52" w:rsidRDefault="00173C9C" w:rsidP="00173C9C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621" w:type="pct"/>
            <w:shd w:val="clear" w:color="auto" w:fill="auto"/>
          </w:tcPr>
          <w:p w14:paraId="276BA89C" w14:textId="3AAFA182" w:rsidR="00173C9C" w:rsidRPr="008D0E52" w:rsidRDefault="00173C9C" w:rsidP="00173C9C">
            <w:pPr>
              <w:jc w:val="right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2004 – May 2006</w:t>
            </w:r>
          </w:p>
        </w:tc>
      </w:tr>
      <w:tr w:rsidR="00173C9C" w:rsidRPr="008D0E52" w14:paraId="7D2C3055" w14:textId="77777777" w:rsidTr="00192244">
        <w:tc>
          <w:tcPr>
            <w:tcW w:w="5000" w:type="pct"/>
            <w:gridSpan w:val="4"/>
            <w:shd w:val="clear" w:color="auto" w:fill="auto"/>
          </w:tcPr>
          <w:p w14:paraId="11B6FBCE" w14:textId="77777777" w:rsidR="00173C9C" w:rsidRPr="008D0E52" w:rsidRDefault="004153DB" w:rsidP="00173C9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Thesis: Implemented a new file system in MINIX Operating system on IBM PowerPC embedded processor</w:t>
            </w:r>
          </w:p>
          <w:p w14:paraId="4B5B006D" w14:textId="5DF817D4" w:rsidR="004153DB" w:rsidRPr="008D0E52" w:rsidRDefault="004153DB" w:rsidP="004153DB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171B1DE0" w14:textId="77777777" w:rsidTr="00192244">
        <w:tc>
          <w:tcPr>
            <w:tcW w:w="1579" w:type="pct"/>
            <w:shd w:val="clear" w:color="auto" w:fill="auto"/>
          </w:tcPr>
          <w:p w14:paraId="7E673957" w14:textId="7F45A128" w:rsidR="004153DB" w:rsidRPr="008D0E52" w:rsidRDefault="004153DB" w:rsidP="004153DB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B.Tech., Information</w:t>
            </w:r>
            <w:r w:rsidR="001922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Tech</w:t>
            </w:r>
            <w:r w:rsidR="00192244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1799" w:type="pct"/>
            <w:gridSpan w:val="2"/>
            <w:shd w:val="clear" w:color="auto" w:fill="auto"/>
          </w:tcPr>
          <w:p w14:paraId="590FA94D" w14:textId="75D33F04" w:rsidR="004153DB" w:rsidRPr="008D0E52" w:rsidRDefault="004153DB" w:rsidP="004153DB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RVR&amp;JC College of </w:t>
            </w: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Engg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 India</w:t>
            </w:r>
          </w:p>
        </w:tc>
        <w:tc>
          <w:tcPr>
            <w:tcW w:w="1621" w:type="pct"/>
            <w:shd w:val="clear" w:color="auto" w:fill="auto"/>
          </w:tcPr>
          <w:p w14:paraId="6064D3B8" w14:textId="4DF30D21" w:rsidR="002E573E" w:rsidRPr="005000F2" w:rsidRDefault="004153DB" w:rsidP="005000F2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2000 – May 2004</w:t>
            </w:r>
          </w:p>
        </w:tc>
      </w:tr>
      <w:tr w:rsidR="00FC53E7" w:rsidRPr="008D0E52" w14:paraId="58D39897" w14:textId="77777777" w:rsidTr="00192244">
        <w:tc>
          <w:tcPr>
            <w:tcW w:w="1579" w:type="pct"/>
            <w:shd w:val="clear" w:color="auto" w:fill="auto"/>
          </w:tcPr>
          <w:p w14:paraId="1DD97225" w14:textId="77777777" w:rsidR="00FC53E7" w:rsidRPr="00FC53E7" w:rsidRDefault="00FC53E7" w:rsidP="004153D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99" w:type="pct"/>
            <w:gridSpan w:val="2"/>
            <w:shd w:val="clear" w:color="auto" w:fill="auto"/>
          </w:tcPr>
          <w:p w14:paraId="39FCACE4" w14:textId="77777777" w:rsidR="00FC53E7" w:rsidRPr="008D0E52" w:rsidRDefault="00FC53E7" w:rsidP="004153D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1" w:type="pct"/>
            <w:shd w:val="clear" w:color="auto" w:fill="auto"/>
          </w:tcPr>
          <w:p w14:paraId="2D816A31" w14:textId="77777777" w:rsidR="00FC53E7" w:rsidRPr="008D0E52" w:rsidRDefault="00FC53E7" w:rsidP="005000F2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153DB" w:rsidRPr="008D0E52" w14:paraId="7F780234" w14:textId="77777777" w:rsidTr="00192244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1FA7DF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4153DB" w:rsidRPr="008D0E52" w14:paraId="4731E15B" w14:textId="77777777" w:rsidTr="00192244">
        <w:trPr>
          <w:trHeight w:val="13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8E5C9D2" w14:textId="207349F9" w:rsidR="00780076" w:rsidRPr="008D0E52" w:rsidRDefault="00780076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Experience in evaluation of HPC systems and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 xml:space="preserve">especially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interconnects through analytical, simulation</w:t>
            </w:r>
            <w:r w:rsidR="00384FC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experimental methods. The goal of the evaluation is system co-design, </w:t>
            </w:r>
            <w:r w:rsidR="009A6FCE" w:rsidRPr="009A6FCE">
              <w:rPr>
                <w:rFonts w:asciiTheme="minorHAnsi" w:hAnsiTheme="minorHAnsi" w:cstheme="minorHAnsi"/>
                <w:sz w:val="22"/>
                <w:szCs w:val="22"/>
              </w:rPr>
              <w:t>guiding architecture tradeoffs</w:t>
            </w:r>
            <w:r w:rsidR="009A6FCE">
              <w:rPr>
                <w:rFonts w:asciiTheme="minorHAnsi" w:hAnsiTheme="minorHAnsi" w:cstheme="minorHAnsi"/>
                <w:sz w:val="22"/>
                <w:szCs w:val="22"/>
              </w:rPr>
              <w:t>, workload characterization,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performance analysis tool development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for Exascale systems.</w:t>
            </w:r>
          </w:p>
          <w:p w14:paraId="3D51FD3B" w14:textId="269C74CE" w:rsidR="002F4EB4" w:rsidRPr="008D0E52" w:rsidRDefault="005E466F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Defined and developed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evaluation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optimizations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various </w:t>
            </w:r>
            <w:proofErr w:type="spellStart"/>
            <w:r w:rsidR="00B7668A">
              <w:rPr>
                <w:rFonts w:asciiTheme="minorHAnsi" w:hAnsiTheme="minorHAnsi" w:cstheme="minorHAnsi"/>
                <w:sz w:val="22"/>
                <w:szCs w:val="22"/>
              </w:rPr>
              <w:t>Exascale</w:t>
            </w:r>
            <w:proofErr w:type="spellEnd"/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>interconnects such as HPE Slingshot and various other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 previous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generation interconnects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like 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>Intel OPA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Cray Aries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486520" w14:textId="173DF484" w:rsidR="00780076" w:rsidRPr="008D0E52" w:rsidRDefault="005000F2" w:rsidP="00AE491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Practical</w:t>
            </w:r>
            <w:r w:rsidR="002E5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80076" w:rsidRPr="008D0E52">
              <w:rPr>
                <w:rFonts w:asciiTheme="minorHAnsi" w:hAnsiTheme="minorHAnsi" w:cstheme="minorHAnsi"/>
                <w:sz w:val="22"/>
                <w:szCs w:val="22"/>
              </w:rPr>
              <w:t>experience in performance optimization on various CPU and GPU processor architectures for on-node performance and interconnects for scale-out performance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72951BF" w14:textId="77777777" w:rsidR="004153DB" w:rsidRPr="008D0E52" w:rsidRDefault="004153DB" w:rsidP="004153D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7A603F84" w14:textId="77777777" w:rsidTr="00192244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9F3926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pacing w:val="86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Additional Experience and Awards</w:t>
            </w:r>
          </w:p>
        </w:tc>
      </w:tr>
      <w:tr w:rsidR="004153DB" w:rsidRPr="008D0E52" w14:paraId="2CE543E9" w14:textId="77777777" w:rsidTr="00192244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101ED6FD" w14:textId="057937BC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Impact Argonne Award for Extraordinary Effort</w:t>
            </w:r>
            <w:r w:rsidR="00D451B5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Argonne National Laboratory, 202</w:t>
            </w:r>
            <w:r w:rsidR="00D451B5">
              <w:rPr>
                <w:rFonts w:asciiTheme="minorHAnsi" w:hAnsiTheme="minorHAnsi" w:cstheme="minorHAnsi"/>
                <w:sz w:val="21"/>
                <w:szCs w:val="21"/>
              </w:rPr>
              <w:t>0 and 2021</w:t>
            </w:r>
          </w:p>
          <w:p w14:paraId="0A2A7251" w14:textId="36DB8306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Certificate of Appreciation from the Director of IBM Research India for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contribution towards an Oil &amp; Gas customer project, 2016</w:t>
            </w:r>
          </w:p>
          <w:p w14:paraId="19704F11" w14:textId="20364013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Mentored a </w:t>
            </w:r>
            <w:r w:rsidR="002E17C8" w:rsidRPr="00A459BC">
              <w:rPr>
                <w:rFonts w:asciiTheme="minorHAnsi" w:hAnsiTheme="minorHAnsi" w:cstheme="minorHAnsi"/>
                <w:sz w:val="21"/>
                <w:szCs w:val="21"/>
              </w:rPr>
              <w:t>post-doctoral candidate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hosted several Ph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students for internships</w:t>
            </w:r>
          </w:p>
          <w:p w14:paraId="4AB073FD" w14:textId="103D207E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Involved in various multi-institute collaborations spanning across labs, hardware vendors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universities</w:t>
            </w:r>
          </w:p>
          <w:p w14:paraId="0495F727" w14:textId="5C44D4B2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Served as a reviewer for various conference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journal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and DoE specific reviewing activities</w:t>
            </w:r>
          </w:p>
          <w:p w14:paraId="3F1893A7" w14:textId="77777777" w:rsidR="004153DB" w:rsidRPr="00D451B5" w:rsidRDefault="004153DB" w:rsidP="004153D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</w:tr>
      <w:tr w:rsidR="0065624C" w:rsidRPr="008D0E52" w14:paraId="252C32E7" w14:textId="77777777" w:rsidTr="00192244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ACA46A" w14:textId="3048A166" w:rsidR="0065624C" w:rsidRPr="008D0E52" w:rsidRDefault="0065624C" w:rsidP="0065624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b/>
                <w:sz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Selected Publications</w:t>
            </w:r>
          </w:p>
        </w:tc>
      </w:tr>
      <w:tr w:rsidR="0065624C" w:rsidRPr="008D0E52" w14:paraId="1612DBF3" w14:textId="77777777" w:rsidTr="00192244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6CE5701" w14:textId="20955332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Sudheer </w:t>
            </w:r>
            <w:proofErr w:type="spell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Chunduri</w:t>
            </w:r>
            <w:proofErr w:type="spellEnd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Kevin Harms, Taylor Groves, Peter Mendygral, Justs Zarins, Michele Weiland,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Yasaman Ghadar. Performance Evaluation of Adaptive Routing on Dragonfly-based Production Systems. In Proceedings of the 35th IEEE International Parallel &amp; Distributed Processing Symposium, IPDPS 21, May 2021. </w:t>
            </w:r>
          </w:p>
          <w:p w14:paraId="44ECA58B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9799B7" w14:textId="43C28355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Sudheer </w:t>
            </w:r>
            <w:proofErr w:type="spell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Chunduri</w:t>
            </w:r>
            <w:proofErr w:type="spellEnd"/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Taylor Groves</w:t>
            </w:r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Peter Mendygral</w:t>
            </w:r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Brian Austin, Jacob Balma, Krishna Kandalla, 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Kumaran, Glenn Lockwood, Scott Parker, Steven Warren, Nathan Wichmann, and Nicholas Wright. GPCNeT: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Designing a Benchmark Suite for Inducing and Measuring Contention in HPC Networks.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 Conference for High Performance Computing, Networking, Storage, and Analysis, SC 19, Nov 2019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63F0E19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890B11C" w14:textId="797D8BA1" w:rsidR="0087511F" w:rsidRPr="008D0E52" w:rsidRDefault="0087511F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Elise Jennings, Kevin Harms, Christopher Knight, and Scott Parker. A generalized statistics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>-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based model for predicting network-induced variability. In 10th International Workshop on 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Modeling, Benchmarking and Simulation of </w:t>
            </w:r>
            <w:proofErr w:type="gram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High Performance</w:t>
            </w:r>
            <w:proofErr w:type="gramEnd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Computer Systems (PMBS’19), SC’19, Nov 2019.</w:t>
            </w:r>
          </w:p>
          <w:p w14:paraId="41E752A4" w14:textId="1FD69504" w:rsidR="0087511F" w:rsidRPr="008D0E52" w:rsidRDefault="0087511F" w:rsidP="00156DB5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6D9E53C" w14:textId="7E4B59BC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Scott Parker, Pavan Balaji, Kevin Harms, and Kalyan Kumaran. Characterization of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MPI Usage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on a Production Supercomputer. In Proceedings of the International Conference for High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Computing, Networking, Storage, and Analysis, SC 18, pages 30:1–30:15, Piscataway, NJ, USA, 2018. </w:t>
            </w:r>
          </w:p>
          <w:p w14:paraId="103C05A4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D8F4A03" w14:textId="76319C39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Kevin Harms, Scott Parker, Vitali Morozov, Samuel Oshin, Naveen Cherukuri,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Kumaran. Run-to-run Variability on Xeon Phi Based Cray XC Systems.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Conference for High Performance Computing, Networking, Storage and Analysis, SC’17,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pages 52:1–52:13, New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York, NY, USA, 2017. ACM. </w:t>
            </w:r>
          </w:p>
          <w:p w14:paraId="6D1733A6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E2549FD" w14:textId="48841478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Wenlei Bao, Changwan Hong, Sudheer Chunduri, Sriram Krishnamoorthy, Louis-Noël Pouchet, Fabrice Rastello,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and P. Sadayappan. Static and Dynamic Frequency Scaling on Multicore CPUs. ACM Trans. Archit. Code Optim.,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13(4):51:1–51:26, December 2016. </w:t>
            </w:r>
          </w:p>
          <w:p w14:paraId="67942AE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0A83F6A7" w14:textId="052E8CD4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C.D. Sudheer and Ashok Srinivasan. Efficient Barrier Implementation on the POWER8 Processor.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 Proceedings of the 2015 IEEE 22Nd International Conference on High Performance Computing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(HiPC), HIPC ’15, pages 165–173, Washington, DC, USA, 2015. IEEE Computer Society.</w:t>
            </w:r>
          </w:p>
          <w:p w14:paraId="039A1E97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20CADA" w14:textId="1AE79CE6" w:rsidR="0065624C" w:rsidRPr="00A459BC" w:rsidRDefault="0065624C" w:rsidP="00D451B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53DB" w:rsidRPr="008D0E52" w14:paraId="126ED132" w14:textId="77777777" w:rsidTr="00192244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6B1E1A" w14:textId="68A79434" w:rsidR="004153DB" w:rsidRPr="008D0E52" w:rsidRDefault="00F6359E" w:rsidP="00325CC8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Software development </w:t>
            </w:r>
            <w:r w:rsidR="00325CC8"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Skills</w:t>
            </w:r>
          </w:p>
        </w:tc>
      </w:tr>
      <w:tr w:rsidR="004153DB" w:rsidRPr="008D0E52" w14:paraId="45987EBD" w14:textId="77777777" w:rsidTr="00192244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A637BFE" w14:textId="417AD9E9" w:rsidR="004153DB" w:rsidRPr="008D0E52" w:rsidRDefault="004153DB" w:rsidP="00156DB5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Theme="minorHAnsi" w:hAnsiTheme="minorHAnsi" w:cstheme="minorHAnsi"/>
                <w:sz w:val="22"/>
              </w:rPr>
            </w:pPr>
            <w:r w:rsidRPr="008D0E52">
              <w:rPr>
                <w:rFonts w:asciiTheme="minorHAnsi" w:hAnsiTheme="minorHAnsi" w:cstheme="minorHAnsi"/>
                <w:sz w:val="22"/>
              </w:rPr>
              <w:t>C; Python;</w:t>
            </w:r>
            <w:r w:rsidR="00B337C5">
              <w:rPr>
                <w:rFonts w:asciiTheme="minorHAnsi" w:hAnsiTheme="minorHAnsi" w:cstheme="minorHAnsi"/>
                <w:sz w:val="22"/>
              </w:rPr>
              <w:t xml:space="preserve"> C++;</w:t>
            </w:r>
            <w:r w:rsidRPr="008D0E52">
              <w:rPr>
                <w:rFonts w:asciiTheme="minorHAnsi" w:hAnsiTheme="minorHAnsi" w:cstheme="minorHAnsi"/>
                <w:sz w:val="22"/>
              </w:rPr>
              <w:t xml:space="preserve"> MPI; OpenMP; CUDA;</w:t>
            </w:r>
            <w:r w:rsidR="00156DB5" w:rsidRPr="008D0E52">
              <w:rPr>
                <w:rFonts w:asciiTheme="minorHAnsi" w:hAnsiTheme="minorHAnsi" w:cstheme="minorHAnsi"/>
                <w:sz w:val="22"/>
              </w:rPr>
              <w:t xml:space="preserve"> HIP;</w:t>
            </w:r>
            <w:r w:rsidRPr="008D0E5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25CC8" w:rsidRPr="008D0E52">
              <w:rPr>
                <w:rFonts w:asciiTheme="minorHAnsi" w:hAnsiTheme="minorHAnsi" w:cstheme="minorHAnsi"/>
                <w:sz w:val="22"/>
              </w:rPr>
              <w:t xml:space="preserve">Jenkins; Gitlab CI; HPC performance and debugging tools; </w:t>
            </w:r>
            <w:r w:rsidR="007050DC">
              <w:rPr>
                <w:rFonts w:asciiTheme="minorHAnsi" w:hAnsiTheme="minorHAnsi" w:cstheme="minorHAnsi"/>
                <w:sz w:val="22"/>
              </w:rPr>
              <w:t xml:space="preserve">R; </w:t>
            </w:r>
            <w:r w:rsidR="009177A7" w:rsidRPr="008D0E52">
              <w:rPr>
                <w:rFonts w:asciiTheme="minorHAnsi" w:hAnsiTheme="minorHAnsi" w:cstheme="minorHAnsi"/>
                <w:sz w:val="22"/>
              </w:rPr>
              <w:t>Spark;</w:t>
            </w:r>
          </w:p>
        </w:tc>
      </w:tr>
    </w:tbl>
    <w:p w14:paraId="6C929335" w14:textId="77777777" w:rsidR="00173C9C" w:rsidRPr="008D0E52" w:rsidRDefault="00173C9C" w:rsidP="00E63EB5">
      <w:pPr>
        <w:rPr>
          <w:rFonts w:asciiTheme="minorHAnsi" w:hAnsiTheme="minorHAnsi" w:cstheme="minorHAnsi"/>
          <w:sz w:val="2"/>
          <w:szCs w:val="2"/>
        </w:rPr>
      </w:pPr>
    </w:p>
    <w:sectPr w:rsidR="00173C9C" w:rsidRPr="008D0E5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6152102">
    <w:abstractNumId w:val="2"/>
  </w:num>
  <w:num w:numId="2" w16cid:durableId="45419994">
    <w:abstractNumId w:val="1"/>
  </w:num>
  <w:num w:numId="3" w16cid:durableId="1537890347">
    <w:abstractNumId w:val="4"/>
  </w:num>
  <w:num w:numId="4" w16cid:durableId="775373045">
    <w:abstractNumId w:val="9"/>
  </w:num>
  <w:num w:numId="5" w16cid:durableId="1503006285">
    <w:abstractNumId w:val="6"/>
  </w:num>
  <w:num w:numId="6" w16cid:durableId="4671703">
    <w:abstractNumId w:val="8"/>
  </w:num>
  <w:num w:numId="7" w16cid:durableId="546916351">
    <w:abstractNumId w:val="7"/>
  </w:num>
  <w:num w:numId="8" w16cid:durableId="1272206485">
    <w:abstractNumId w:val="5"/>
  </w:num>
  <w:num w:numId="9" w16cid:durableId="1520121481">
    <w:abstractNumId w:val="3"/>
  </w:num>
  <w:num w:numId="10" w16cid:durableId="78508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690D"/>
    <w:rsid w:val="0004663E"/>
    <w:rsid w:val="00056D7C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65F4"/>
    <w:rsid w:val="000E2D5C"/>
    <w:rsid w:val="000F3182"/>
    <w:rsid w:val="000F40FB"/>
    <w:rsid w:val="000F5A12"/>
    <w:rsid w:val="000F7A7A"/>
    <w:rsid w:val="00115032"/>
    <w:rsid w:val="001447C7"/>
    <w:rsid w:val="0014706C"/>
    <w:rsid w:val="00154C14"/>
    <w:rsid w:val="00156DB5"/>
    <w:rsid w:val="00173C9C"/>
    <w:rsid w:val="0018789F"/>
    <w:rsid w:val="00191E83"/>
    <w:rsid w:val="00192244"/>
    <w:rsid w:val="0019784A"/>
    <w:rsid w:val="001B3319"/>
    <w:rsid w:val="001C1F74"/>
    <w:rsid w:val="001E537A"/>
    <w:rsid w:val="001F029E"/>
    <w:rsid w:val="001F58AC"/>
    <w:rsid w:val="001F78A5"/>
    <w:rsid w:val="001F7BB0"/>
    <w:rsid w:val="00206880"/>
    <w:rsid w:val="002076AE"/>
    <w:rsid w:val="002135B5"/>
    <w:rsid w:val="002232ED"/>
    <w:rsid w:val="00224DBF"/>
    <w:rsid w:val="00244881"/>
    <w:rsid w:val="002522BB"/>
    <w:rsid w:val="0026014B"/>
    <w:rsid w:val="002724C0"/>
    <w:rsid w:val="002915E3"/>
    <w:rsid w:val="00294FDC"/>
    <w:rsid w:val="00295273"/>
    <w:rsid w:val="002B0BCF"/>
    <w:rsid w:val="002C307B"/>
    <w:rsid w:val="002C62EC"/>
    <w:rsid w:val="002D328E"/>
    <w:rsid w:val="002E17C8"/>
    <w:rsid w:val="002E2753"/>
    <w:rsid w:val="002E573E"/>
    <w:rsid w:val="002E6BBF"/>
    <w:rsid w:val="002F21A9"/>
    <w:rsid w:val="002F2354"/>
    <w:rsid w:val="002F36AD"/>
    <w:rsid w:val="002F4EB4"/>
    <w:rsid w:val="00300E90"/>
    <w:rsid w:val="00302291"/>
    <w:rsid w:val="0030765E"/>
    <w:rsid w:val="00314E60"/>
    <w:rsid w:val="00325CC8"/>
    <w:rsid w:val="0032736B"/>
    <w:rsid w:val="00331DCE"/>
    <w:rsid w:val="00360226"/>
    <w:rsid w:val="00372A37"/>
    <w:rsid w:val="0037432B"/>
    <w:rsid w:val="00384FC2"/>
    <w:rsid w:val="00386A41"/>
    <w:rsid w:val="00393D41"/>
    <w:rsid w:val="003A0535"/>
    <w:rsid w:val="003A55B1"/>
    <w:rsid w:val="003A5716"/>
    <w:rsid w:val="003B0AF1"/>
    <w:rsid w:val="003C1CF0"/>
    <w:rsid w:val="003C21E4"/>
    <w:rsid w:val="003C31FD"/>
    <w:rsid w:val="003C49B5"/>
    <w:rsid w:val="003D2D96"/>
    <w:rsid w:val="003D3303"/>
    <w:rsid w:val="003D3828"/>
    <w:rsid w:val="003F12EA"/>
    <w:rsid w:val="003F330B"/>
    <w:rsid w:val="004130ED"/>
    <w:rsid w:val="004153DB"/>
    <w:rsid w:val="004163FB"/>
    <w:rsid w:val="00423F63"/>
    <w:rsid w:val="00443EDF"/>
    <w:rsid w:val="004600A6"/>
    <w:rsid w:val="00461C99"/>
    <w:rsid w:val="004713D5"/>
    <w:rsid w:val="00492200"/>
    <w:rsid w:val="00493658"/>
    <w:rsid w:val="004B7B4D"/>
    <w:rsid w:val="004E6B33"/>
    <w:rsid w:val="004E75FC"/>
    <w:rsid w:val="004F413F"/>
    <w:rsid w:val="005000F2"/>
    <w:rsid w:val="005161F2"/>
    <w:rsid w:val="00516C99"/>
    <w:rsid w:val="00546A6D"/>
    <w:rsid w:val="00547D45"/>
    <w:rsid w:val="005541F1"/>
    <w:rsid w:val="005546CE"/>
    <w:rsid w:val="0056436A"/>
    <w:rsid w:val="00564C33"/>
    <w:rsid w:val="005767B3"/>
    <w:rsid w:val="005831A9"/>
    <w:rsid w:val="0058457C"/>
    <w:rsid w:val="005856D3"/>
    <w:rsid w:val="00590D39"/>
    <w:rsid w:val="00592573"/>
    <w:rsid w:val="005A4974"/>
    <w:rsid w:val="005D1C0C"/>
    <w:rsid w:val="005D2239"/>
    <w:rsid w:val="005D32A3"/>
    <w:rsid w:val="005D3E2D"/>
    <w:rsid w:val="005E450A"/>
    <w:rsid w:val="005E466F"/>
    <w:rsid w:val="005E50C2"/>
    <w:rsid w:val="005F79A7"/>
    <w:rsid w:val="0060421D"/>
    <w:rsid w:val="00623383"/>
    <w:rsid w:val="00636844"/>
    <w:rsid w:val="0065624C"/>
    <w:rsid w:val="00660CE9"/>
    <w:rsid w:val="00660F5F"/>
    <w:rsid w:val="00662419"/>
    <w:rsid w:val="00666500"/>
    <w:rsid w:val="00666BED"/>
    <w:rsid w:val="006807D2"/>
    <w:rsid w:val="006854C4"/>
    <w:rsid w:val="00690D2E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46F7"/>
    <w:rsid w:val="007050DC"/>
    <w:rsid w:val="00707D4B"/>
    <w:rsid w:val="00741CF2"/>
    <w:rsid w:val="00744739"/>
    <w:rsid w:val="00760747"/>
    <w:rsid w:val="0076562A"/>
    <w:rsid w:val="007657E7"/>
    <w:rsid w:val="00780076"/>
    <w:rsid w:val="007A0A00"/>
    <w:rsid w:val="007B33F9"/>
    <w:rsid w:val="007B7EF3"/>
    <w:rsid w:val="007D1C0A"/>
    <w:rsid w:val="007D237C"/>
    <w:rsid w:val="007E32A1"/>
    <w:rsid w:val="007E5660"/>
    <w:rsid w:val="007F46BB"/>
    <w:rsid w:val="007F5139"/>
    <w:rsid w:val="00805ACA"/>
    <w:rsid w:val="00813741"/>
    <w:rsid w:val="00816975"/>
    <w:rsid w:val="008256A1"/>
    <w:rsid w:val="0082597F"/>
    <w:rsid w:val="00837461"/>
    <w:rsid w:val="008455CB"/>
    <w:rsid w:val="00853B74"/>
    <w:rsid w:val="00855E2C"/>
    <w:rsid w:val="0087175B"/>
    <w:rsid w:val="00872528"/>
    <w:rsid w:val="0087511F"/>
    <w:rsid w:val="00876692"/>
    <w:rsid w:val="008823C8"/>
    <w:rsid w:val="00882A29"/>
    <w:rsid w:val="00883B94"/>
    <w:rsid w:val="0088665A"/>
    <w:rsid w:val="008A4555"/>
    <w:rsid w:val="008B0E97"/>
    <w:rsid w:val="008D0B6A"/>
    <w:rsid w:val="008D0E52"/>
    <w:rsid w:val="008D7C55"/>
    <w:rsid w:val="008E2404"/>
    <w:rsid w:val="00900351"/>
    <w:rsid w:val="00912747"/>
    <w:rsid w:val="00915D7E"/>
    <w:rsid w:val="009177A7"/>
    <w:rsid w:val="00922484"/>
    <w:rsid w:val="0092439A"/>
    <w:rsid w:val="009243A1"/>
    <w:rsid w:val="009353D3"/>
    <w:rsid w:val="00952C2D"/>
    <w:rsid w:val="009614D2"/>
    <w:rsid w:val="00961659"/>
    <w:rsid w:val="009636E8"/>
    <w:rsid w:val="00967139"/>
    <w:rsid w:val="00971373"/>
    <w:rsid w:val="009753A6"/>
    <w:rsid w:val="009A6FCE"/>
    <w:rsid w:val="009B4217"/>
    <w:rsid w:val="009C217B"/>
    <w:rsid w:val="009C7526"/>
    <w:rsid w:val="009E1F77"/>
    <w:rsid w:val="009E2B0F"/>
    <w:rsid w:val="009F6EB6"/>
    <w:rsid w:val="00A02748"/>
    <w:rsid w:val="00A02E85"/>
    <w:rsid w:val="00A11BA8"/>
    <w:rsid w:val="00A17163"/>
    <w:rsid w:val="00A26215"/>
    <w:rsid w:val="00A2669C"/>
    <w:rsid w:val="00A2723F"/>
    <w:rsid w:val="00A30560"/>
    <w:rsid w:val="00A33565"/>
    <w:rsid w:val="00A459BC"/>
    <w:rsid w:val="00A616A1"/>
    <w:rsid w:val="00A6171D"/>
    <w:rsid w:val="00AA4DA5"/>
    <w:rsid w:val="00AB4740"/>
    <w:rsid w:val="00AC665F"/>
    <w:rsid w:val="00AE3B50"/>
    <w:rsid w:val="00AE4912"/>
    <w:rsid w:val="00AE6A79"/>
    <w:rsid w:val="00AF098D"/>
    <w:rsid w:val="00AF5211"/>
    <w:rsid w:val="00AF7E0A"/>
    <w:rsid w:val="00B03F5D"/>
    <w:rsid w:val="00B214EC"/>
    <w:rsid w:val="00B30234"/>
    <w:rsid w:val="00B337C5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68A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139A"/>
    <w:rsid w:val="00C22F15"/>
    <w:rsid w:val="00C2419E"/>
    <w:rsid w:val="00C35C99"/>
    <w:rsid w:val="00C45CFC"/>
    <w:rsid w:val="00C47F7D"/>
    <w:rsid w:val="00C51AA0"/>
    <w:rsid w:val="00C57780"/>
    <w:rsid w:val="00C62C46"/>
    <w:rsid w:val="00C86B46"/>
    <w:rsid w:val="00C87D5E"/>
    <w:rsid w:val="00C92CE8"/>
    <w:rsid w:val="00C95766"/>
    <w:rsid w:val="00CA7590"/>
    <w:rsid w:val="00CB0D9C"/>
    <w:rsid w:val="00CB1C7A"/>
    <w:rsid w:val="00CB3C70"/>
    <w:rsid w:val="00CB41D7"/>
    <w:rsid w:val="00CC2864"/>
    <w:rsid w:val="00CC2EE2"/>
    <w:rsid w:val="00CC3CB8"/>
    <w:rsid w:val="00CE02A2"/>
    <w:rsid w:val="00CF6FFC"/>
    <w:rsid w:val="00D01F06"/>
    <w:rsid w:val="00D0619C"/>
    <w:rsid w:val="00D273A6"/>
    <w:rsid w:val="00D30117"/>
    <w:rsid w:val="00D30514"/>
    <w:rsid w:val="00D451B5"/>
    <w:rsid w:val="00D52906"/>
    <w:rsid w:val="00D549DE"/>
    <w:rsid w:val="00D6010F"/>
    <w:rsid w:val="00D60239"/>
    <w:rsid w:val="00D65677"/>
    <w:rsid w:val="00D66202"/>
    <w:rsid w:val="00D669C1"/>
    <w:rsid w:val="00D70352"/>
    <w:rsid w:val="00D74E6B"/>
    <w:rsid w:val="00D77FBC"/>
    <w:rsid w:val="00D83523"/>
    <w:rsid w:val="00D8457A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31629"/>
    <w:rsid w:val="00E44803"/>
    <w:rsid w:val="00E45951"/>
    <w:rsid w:val="00E616AF"/>
    <w:rsid w:val="00E63EB5"/>
    <w:rsid w:val="00E6615D"/>
    <w:rsid w:val="00E66E15"/>
    <w:rsid w:val="00E718EA"/>
    <w:rsid w:val="00E73070"/>
    <w:rsid w:val="00E80AB7"/>
    <w:rsid w:val="00E851F6"/>
    <w:rsid w:val="00E93390"/>
    <w:rsid w:val="00EA074D"/>
    <w:rsid w:val="00EA6927"/>
    <w:rsid w:val="00EA7110"/>
    <w:rsid w:val="00EB108A"/>
    <w:rsid w:val="00EC4DF2"/>
    <w:rsid w:val="00ED28D8"/>
    <w:rsid w:val="00EE291A"/>
    <w:rsid w:val="00F01D9B"/>
    <w:rsid w:val="00F161DB"/>
    <w:rsid w:val="00F23A7A"/>
    <w:rsid w:val="00F30D97"/>
    <w:rsid w:val="00F33544"/>
    <w:rsid w:val="00F3445A"/>
    <w:rsid w:val="00F37C8E"/>
    <w:rsid w:val="00F45607"/>
    <w:rsid w:val="00F52029"/>
    <w:rsid w:val="00F53385"/>
    <w:rsid w:val="00F54241"/>
    <w:rsid w:val="00F6359E"/>
    <w:rsid w:val="00F82078"/>
    <w:rsid w:val="00F97F49"/>
    <w:rsid w:val="00FA44B6"/>
    <w:rsid w:val="00FC164E"/>
    <w:rsid w:val="00FC53E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F99CA"/>
  <w15:chartTrackingRefBased/>
  <w15:docId w15:val="{04989717-B279-9444-9EAC-BF9AEBA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F97F49"/>
    <w:pPr>
      <w:ind w:left="720"/>
    </w:pPr>
  </w:style>
  <w:style w:type="paragraph" w:styleId="Revision">
    <w:name w:val="Revision"/>
    <w:hidden/>
    <w:uiPriority w:val="99"/>
    <w:semiHidden/>
    <w:rsid w:val="0066650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heer-chundur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EC47E9-56F0-EE45-8358-8BB85C41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Sudheer</dc:creator>
  <cp:keywords/>
  <dc:description/>
  <cp:lastModifiedBy>Chunduri, Sudheer</cp:lastModifiedBy>
  <cp:revision>56</cp:revision>
  <cp:lastPrinted>2021-09-30T20:21:00Z</cp:lastPrinted>
  <dcterms:created xsi:type="dcterms:W3CDTF">2021-09-24T02:07:00Z</dcterms:created>
  <dcterms:modified xsi:type="dcterms:W3CDTF">2022-04-07T20:14:00Z</dcterms:modified>
  <cp:category/>
</cp:coreProperties>
</file>