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8"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4819"/>
        <w:gridCol w:w="4819"/>
      </w:tblGrid>
      <w:tr w:rsidR="00183EAC" w:rsidTr="00183EAC">
        <w:tblPrEx>
          <w:tblCellMar>
            <w:top w:w="0" w:type="dxa"/>
            <w:bottom w:w="0" w:type="dxa"/>
          </w:tblCellMar>
        </w:tblPrEx>
        <w:trPr>
          <w:trHeight w:val="708"/>
        </w:trPr>
        <w:tc>
          <w:tcPr>
            <w:tcW w:w="0" w:type="auto"/>
            <w:gridSpan w:val="2"/>
            <w:vAlign w:val="center"/>
          </w:tcPr>
          <w:p w:rsidR="00EE75EA" w:rsidRDefault="00AA3540">
            <w:pPr>
              <w:jc w:val="center"/>
            </w:pPr>
            <w:r>
              <w:rPr>
                <w:rFonts w:ascii="標楷體" w:eastAsia="標楷體" w:hAnsi="標楷體" w:cs="標楷體"/>
                <w:b/>
                <w:color w:val="00008B"/>
                <w:sz w:val="40"/>
              </w:rPr>
              <w:t>13-6</w:t>
            </w:r>
            <w:r>
              <w:rPr>
                <w:rFonts w:ascii="標楷體" w:eastAsia="標楷體" w:hAnsi="標楷體" w:cs="標楷體"/>
                <w:b/>
                <w:color w:val="00008B"/>
                <w:sz w:val="40"/>
              </w:rPr>
              <w:t>市政總質詢第</w:t>
            </w:r>
            <w:r>
              <w:rPr>
                <w:rFonts w:ascii="標楷體" w:eastAsia="標楷體" w:hAnsi="標楷體" w:cs="標楷體"/>
                <w:b/>
                <w:color w:val="00008B"/>
                <w:sz w:val="40"/>
              </w:rPr>
              <w:t>1</w:t>
            </w:r>
            <w:r>
              <w:rPr>
                <w:rFonts w:ascii="標楷體" w:eastAsia="標楷體" w:hAnsi="標楷體" w:cs="標楷體"/>
                <w:b/>
                <w:color w:val="00008B"/>
                <w:sz w:val="40"/>
              </w:rPr>
              <w:t>、</w:t>
            </w:r>
            <w:r>
              <w:rPr>
                <w:rFonts w:ascii="標楷體" w:eastAsia="標楷體" w:hAnsi="標楷體" w:cs="標楷體"/>
                <w:b/>
                <w:color w:val="00008B"/>
                <w:sz w:val="40"/>
              </w:rPr>
              <w:t>2</w:t>
            </w:r>
            <w:r>
              <w:rPr>
                <w:rFonts w:ascii="標楷體" w:eastAsia="標楷體" w:hAnsi="標楷體" w:cs="標楷體"/>
                <w:b/>
                <w:color w:val="00008B"/>
                <w:sz w:val="40"/>
              </w:rPr>
              <w:t>組模擬題摘要</w:t>
            </w:r>
          </w:p>
        </w:tc>
      </w:tr>
      <w:tr w:rsidR="00183EAC" w:rsidTr="00183EAC">
        <w:tblPrEx>
          <w:tblCellMar>
            <w:top w:w="0" w:type="dxa"/>
            <w:bottom w:w="0" w:type="dxa"/>
          </w:tblCellMar>
        </w:tblPrEx>
        <w:tc>
          <w:tcPr>
            <w:tcW w:w="0" w:type="auto"/>
            <w:gridSpan w:val="2"/>
          </w:tcPr>
          <w:p w:rsidR="00EE75EA" w:rsidRDefault="00AA3540">
            <w:pPr>
              <w:jc w:val="center"/>
            </w:pPr>
            <w:r>
              <w:rPr>
                <w:rFonts w:ascii="標楷體" w:eastAsia="標楷體" w:hAnsi="標楷體" w:cs="標楷體"/>
                <w:b/>
                <w:color w:val="7030A0"/>
                <w:sz w:val="40"/>
              </w:rPr>
              <w:t>第</w:t>
            </w:r>
            <w:r>
              <w:rPr>
                <w:rFonts w:ascii="標楷體" w:eastAsia="標楷體" w:hAnsi="標楷體" w:cs="標楷體"/>
                <w:b/>
                <w:color w:val="7030A0"/>
                <w:sz w:val="40"/>
              </w:rPr>
              <w:t>1</w:t>
            </w:r>
            <w:r>
              <w:rPr>
                <w:rFonts w:ascii="標楷體" w:eastAsia="標楷體" w:hAnsi="標楷體" w:cs="標楷體"/>
                <w:b/>
                <w:color w:val="7030A0"/>
                <w:sz w:val="40"/>
              </w:rPr>
              <w:t>組</w:t>
            </w:r>
          </w:p>
        </w:tc>
      </w:tr>
      <w:tr w:rsidR="00183EAC" w:rsidTr="00183EAC">
        <w:tblPrEx>
          <w:tblCellMar>
            <w:top w:w="0" w:type="dxa"/>
            <w:bottom w:w="0" w:type="dxa"/>
          </w:tblCellMar>
        </w:tblPrEx>
        <w:trPr>
          <w:trHeight w:val="397"/>
        </w:trPr>
        <w:tc>
          <w:tcPr>
            <w:tcW w:w="0" w:type="auto"/>
            <w:gridSpan w:val="2"/>
          </w:tcPr>
          <w:p w:rsidR="00EE75EA" w:rsidRDefault="00AA3540">
            <w:pPr>
              <w:jc w:val="center"/>
            </w:pPr>
            <w:r>
              <w:rPr>
                <w:rFonts w:ascii="標楷體" w:eastAsia="標楷體" w:hAnsi="標楷體" w:cs="標楷體"/>
                <w:b/>
                <w:color w:val="00008B"/>
                <w:sz w:val="32"/>
              </w:rPr>
              <w:t>秦慧珠</w:t>
            </w:r>
          </w:p>
        </w:tc>
      </w:tr>
      <w:tr w:rsidR="00EE75EA">
        <w:tblPrEx>
          <w:tblCellMar>
            <w:top w:w="0" w:type="dxa"/>
            <w:bottom w:w="0" w:type="dxa"/>
          </w:tblCellMar>
        </w:tblPrEx>
        <w:tc>
          <w:tcPr>
            <w:tcW w:w="0" w:type="auto"/>
          </w:tcPr>
          <w:p w:rsidR="00EE75EA" w:rsidRDefault="00AA3540">
            <w:pPr>
              <w:jc w:val="center"/>
            </w:pPr>
            <w:r>
              <w:rPr>
                <w:rFonts w:ascii="標楷體" w:eastAsia="標楷體" w:hAnsi="標楷體" w:cs="標楷體"/>
                <w:b/>
                <w:color w:val="00008B"/>
                <w:sz w:val="32"/>
              </w:rPr>
              <w:t>題目</w:t>
            </w:r>
          </w:p>
        </w:tc>
        <w:tc>
          <w:tcPr>
            <w:tcW w:w="0" w:type="auto"/>
          </w:tcPr>
          <w:p w:rsidR="00EE75EA" w:rsidRDefault="00AA3540">
            <w:pPr>
              <w:jc w:val="center"/>
            </w:pPr>
            <w:r>
              <w:rPr>
                <w:rFonts w:ascii="標楷體" w:eastAsia="標楷體" w:hAnsi="標楷體" w:cs="標楷體"/>
                <w:b/>
                <w:color w:val="00008B"/>
                <w:sz w:val="32"/>
              </w:rPr>
              <w:t>答復摘要</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1-1</w:t>
            </w:r>
            <w:r>
              <w:rPr>
                <w:rFonts w:ascii="標楷體" w:eastAsia="標楷體" w:hAnsi="標楷體" w:cs="標楷體"/>
                <w:sz w:val="28"/>
              </w:rPr>
              <w:t>市長對</w:t>
            </w:r>
            <w:r>
              <w:rPr>
                <w:rFonts w:ascii="標楷體" w:eastAsia="標楷體" w:hAnsi="標楷體" w:cs="標楷體"/>
                <w:sz w:val="28"/>
              </w:rPr>
              <w:t>4</w:t>
            </w:r>
            <w:r>
              <w:rPr>
                <w:rFonts w:ascii="標楷體" w:eastAsia="標楷體" w:hAnsi="標楷體" w:cs="標楷體"/>
                <w:sz w:val="28"/>
              </w:rPr>
              <w:t>大公投的態度？</w:t>
            </w:r>
          </w:p>
        </w:tc>
        <w:tc>
          <w:tcPr>
            <w:tcW w:w="0" w:type="auto"/>
            <w:vAlign w:val="center"/>
          </w:tcPr>
          <w:p w:rsidR="00EE75EA" w:rsidRDefault="00AA3540">
            <w:r>
              <w:rPr>
                <w:rFonts w:ascii="標楷體" w:eastAsia="標楷體" w:hAnsi="標楷體" w:cs="標楷體"/>
                <w:sz w:val="28"/>
              </w:rPr>
              <w:t>依據中央選舉委員會發布，</w:t>
            </w:r>
            <w:r>
              <w:rPr>
                <w:rFonts w:ascii="標楷體" w:eastAsia="標楷體" w:hAnsi="標楷體" w:cs="標楷體"/>
                <w:sz w:val="28"/>
              </w:rPr>
              <w:t>110</w:t>
            </w:r>
            <w:r>
              <w:rPr>
                <w:rFonts w:ascii="標楷體" w:eastAsia="標楷體" w:hAnsi="標楷體" w:cs="標楷體"/>
                <w:sz w:val="28"/>
              </w:rPr>
              <w:t>年全國性公民投票案第</w:t>
            </w:r>
            <w:r>
              <w:rPr>
                <w:rFonts w:ascii="標楷體" w:eastAsia="標楷體" w:hAnsi="標楷體" w:cs="標楷體"/>
                <w:sz w:val="28"/>
              </w:rPr>
              <w:t>17</w:t>
            </w:r>
            <w:r>
              <w:rPr>
                <w:rFonts w:ascii="標楷體" w:eastAsia="標楷體" w:hAnsi="標楷體" w:cs="標楷體"/>
                <w:sz w:val="28"/>
              </w:rPr>
              <w:t>案至</w:t>
            </w:r>
            <w:r>
              <w:rPr>
                <w:rFonts w:ascii="標楷體" w:eastAsia="標楷體" w:hAnsi="標楷體" w:cs="標楷體"/>
                <w:sz w:val="28"/>
              </w:rPr>
              <w:t>20</w:t>
            </w:r>
            <w:r>
              <w:rPr>
                <w:rFonts w:ascii="標楷體" w:eastAsia="標楷體" w:hAnsi="標楷體" w:cs="標楷體"/>
                <w:sz w:val="28"/>
              </w:rPr>
              <w:t>案主文如說明。</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1-2</w:t>
            </w:r>
            <w:r>
              <w:rPr>
                <w:rFonts w:ascii="標楷體" w:eastAsia="標楷體" w:hAnsi="標楷體" w:cs="標楷體"/>
                <w:sz w:val="28"/>
              </w:rPr>
              <w:t>臺北市近</w:t>
            </w:r>
            <w:r>
              <w:rPr>
                <w:rFonts w:ascii="標楷體" w:eastAsia="標楷體" w:hAnsi="標楷體" w:cs="標楷體"/>
                <w:sz w:val="28"/>
              </w:rPr>
              <w:t>5</w:t>
            </w:r>
            <w:r>
              <w:rPr>
                <w:rFonts w:ascii="標楷體" w:eastAsia="標楷體" w:hAnsi="標楷體" w:cs="標楷體"/>
                <w:sz w:val="28"/>
              </w:rPr>
              <w:t>年市有房地被無權占用件數、坪數、使用補償金金額、已收繳與尚未收繳件數及金額、比率？</w:t>
            </w:r>
          </w:p>
        </w:tc>
        <w:tc>
          <w:tcPr>
            <w:tcW w:w="0" w:type="auto"/>
            <w:vAlign w:val="center"/>
          </w:tcPr>
          <w:p w:rsidR="00EE75EA" w:rsidRDefault="00AA3540">
            <w:r>
              <w:rPr>
                <w:rFonts w:ascii="標楷體" w:eastAsia="標楷體" w:hAnsi="標楷體" w:cs="標楷體"/>
                <w:sz w:val="28"/>
              </w:rPr>
              <w:t>本府各機關經管市有</w:t>
            </w:r>
            <w:proofErr w:type="gramStart"/>
            <w:r>
              <w:rPr>
                <w:rFonts w:ascii="標楷體" w:eastAsia="標楷體" w:hAnsi="標楷體" w:cs="標楷體"/>
                <w:sz w:val="28"/>
              </w:rPr>
              <w:t>房地倘經清查</w:t>
            </w:r>
            <w:proofErr w:type="gramEnd"/>
            <w:r>
              <w:rPr>
                <w:rFonts w:ascii="標楷體" w:eastAsia="標楷體" w:hAnsi="標楷體" w:cs="標楷體"/>
                <w:sz w:val="28"/>
              </w:rPr>
              <w:t>有被占用情事，均依本市市有公用不動產被占用處理作業要點等相關規定處理。</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1-3</w:t>
            </w:r>
            <w:r>
              <w:rPr>
                <w:rFonts w:ascii="標楷體" w:eastAsia="標楷體" w:hAnsi="標楷體" w:cs="標楷體"/>
                <w:sz w:val="28"/>
              </w:rPr>
              <w:t>廚餘再利用近</w:t>
            </w:r>
            <w:r>
              <w:rPr>
                <w:rFonts w:ascii="標楷體" w:eastAsia="標楷體" w:hAnsi="標楷體" w:cs="標楷體"/>
                <w:sz w:val="28"/>
              </w:rPr>
              <w:t>5</w:t>
            </w:r>
            <w:r>
              <w:rPr>
                <w:rFonts w:ascii="標楷體" w:eastAsia="標楷體" w:hAnsi="標楷體" w:cs="標楷體"/>
                <w:sz w:val="28"/>
              </w:rPr>
              <w:t>年各行政區執行</w:t>
            </w:r>
            <w:proofErr w:type="gramStart"/>
            <w:r>
              <w:rPr>
                <w:rFonts w:ascii="標楷體" w:eastAsia="標楷體" w:hAnsi="標楷體" w:cs="標楷體"/>
                <w:sz w:val="28"/>
              </w:rPr>
              <w:t>廚餘去化</w:t>
            </w:r>
            <w:proofErr w:type="gramEnd"/>
            <w:r>
              <w:rPr>
                <w:rFonts w:ascii="標楷體" w:eastAsia="標楷體" w:hAnsi="標楷體" w:cs="標楷體"/>
                <w:sz w:val="28"/>
              </w:rPr>
              <w:t>成效？為提升委外堆肥場處理意願，編列多少預算規劃執行</w:t>
            </w:r>
            <w:proofErr w:type="gramStart"/>
            <w:r>
              <w:rPr>
                <w:rFonts w:ascii="標楷體" w:eastAsia="標楷體" w:hAnsi="標楷體" w:cs="標楷體"/>
                <w:sz w:val="28"/>
              </w:rPr>
              <w:t>廚餘去化</w:t>
            </w:r>
            <w:proofErr w:type="gramEnd"/>
            <w:r>
              <w:rPr>
                <w:rFonts w:ascii="標楷體" w:eastAsia="標楷體" w:hAnsi="標楷體" w:cs="標楷體"/>
                <w:sz w:val="28"/>
              </w:rPr>
              <w:t>管道？後續可減少多少委外再利用處理費用？</w:t>
            </w:r>
          </w:p>
        </w:tc>
        <w:tc>
          <w:tcPr>
            <w:tcW w:w="0" w:type="auto"/>
            <w:vAlign w:val="center"/>
          </w:tcPr>
          <w:p w:rsidR="00EE75EA" w:rsidRDefault="00AA3540">
            <w:r>
              <w:rPr>
                <w:rFonts w:ascii="標楷體" w:eastAsia="標楷體" w:hAnsi="標楷體" w:cs="標楷體"/>
                <w:sz w:val="28"/>
              </w:rPr>
              <w:t>109</w:t>
            </w:r>
            <w:r>
              <w:rPr>
                <w:rFonts w:ascii="標楷體" w:eastAsia="標楷體" w:hAnsi="標楷體" w:cs="標楷體"/>
                <w:sz w:val="28"/>
              </w:rPr>
              <w:t>年使用廚餘製成土壤改良劑及有機肥</w:t>
            </w:r>
            <w:r>
              <w:rPr>
                <w:rFonts w:ascii="標楷體" w:eastAsia="標楷體" w:hAnsi="標楷體" w:cs="標楷體"/>
                <w:sz w:val="28"/>
              </w:rPr>
              <w:t>164.7</w:t>
            </w:r>
            <w:r>
              <w:rPr>
                <w:rFonts w:ascii="標楷體" w:eastAsia="標楷體" w:hAnsi="標楷體" w:cs="標楷體"/>
                <w:sz w:val="28"/>
              </w:rPr>
              <w:t>萬公斤，回饋</w:t>
            </w:r>
            <w:r>
              <w:rPr>
                <w:rFonts w:ascii="標楷體" w:eastAsia="標楷體" w:hAnsi="標楷體" w:cs="標楷體"/>
                <w:sz w:val="28"/>
              </w:rPr>
              <w:t>181</w:t>
            </w:r>
            <w:r>
              <w:rPr>
                <w:rFonts w:ascii="標楷體" w:eastAsia="標楷體" w:hAnsi="標楷體" w:cs="標楷體"/>
                <w:sz w:val="28"/>
              </w:rPr>
              <w:t>處田園城市及</w:t>
            </w:r>
            <w:r>
              <w:rPr>
                <w:rFonts w:ascii="標楷體" w:eastAsia="標楷體" w:hAnsi="標楷體" w:cs="標楷體"/>
                <w:sz w:val="28"/>
              </w:rPr>
              <w:t>2.6</w:t>
            </w:r>
            <w:r>
              <w:rPr>
                <w:rFonts w:ascii="標楷體" w:eastAsia="標楷體" w:hAnsi="標楷體" w:cs="標楷體"/>
                <w:sz w:val="28"/>
              </w:rPr>
              <w:t>萬市民免費領用。</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1-4</w:t>
            </w:r>
            <w:r>
              <w:rPr>
                <w:rFonts w:ascii="標楷體" w:eastAsia="標楷體" w:hAnsi="標楷體" w:cs="標楷體"/>
                <w:sz w:val="28"/>
              </w:rPr>
              <w:t>劃設第一</w:t>
            </w:r>
            <w:proofErr w:type="gramStart"/>
            <w:r>
              <w:rPr>
                <w:rFonts w:ascii="標楷體" w:eastAsia="標楷體" w:hAnsi="標楷體" w:cs="標楷體"/>
                <w:sz w:val="28"/>
              </w:rPr>
              <w:t>期空品區</w:t>
            </w:r>
            <w:proofErr w:type="gramEnd"/>
            <w:r>
              <w:rPr>
                <w:rFonts w:ascii="標楷體" w:eastAsia="標楷體" w:hAnsi="標楷體" w:cs="標楷體"/>
                <w:sz w:val="28"/>
              </w:rPr>
              <w:t>108</w:t>
            </w:r>
            <w:r>
              <w:rPr>
                <w:rFonts w:ascii="標楷體" w:eastAsia="標楷體" w:hAnsi="標楷體" w:cs="標楷體"/>
                <w:sz w:val="28"/>
              </w:rPr>
              <w:t>年至</w:t>
            </w:r>
            <w:r>
              <w:rPr>
                <w:rFonts w:ascii="標楷體" w:eastAsia="標楷體" w:hAnsi="標楷體" w:cs="標楷體"/>
                <w:sz w:val="28"/>
              </w:rPr>
              <w:t>110</w:t>
            </w:r>
            <w:r>
              <w:rPr>
                <w:rFonts w:ascii="標楷體" w:eastAsia="標楷體" w:hAnsi="標楷體" w:cs="標楷體"/>
                <w:sz w:val="28"/>
              </w:rPr>
              <w:t>年編列預算、規劃及完成項目、使用金額、完成比率、</w:t>
            </w:r>
            <w:proofErr w:type="gramStart"/>
            <w:r>
              <w:rPr>
                <w:rFonts w:ascii="標楷體" w:eastAsia="標楷體" w:hAnsi="標楷體" w:cs="標楷體"/>
                <w:sz w:val="28"/>
              </w:rPr>
              <w:t>空品區</w:t>
            </w:r>
            <w:proofErr w:type="gramEnd"/>
            <w:r>
              <w:rPr>
                <w:rFonts w:ascii="標楷體" w:eastAsia="標楷體" w:hAnsi="標楷體" w:cs="標楷體"/>
                <w:sz w:val="28"/>
              </w:rPr>
              <w:t>空氣品質監測數值</w:t>
            </w:r>
            <w:r>
              <w:rPr>
                <w:rFonts w:ascii="標楷體" w:eastAsia="標楷體" w:hAnsi="標楷體" w:cs="標楷體"/>
                <w:sz w:val="28"/>
              </w:rPr>
              <w:t>?</w:t>
            </w:r>
            <w:proofErr w:type="gramStart"/>
            <w:r>
              <w:rPr>
                <w:rFonts w:ascii="標楷體" w:eastAsia="標楷體" w:hAnsi="標楷體" w:cs="標楷體"/>
                <w:sz w:val="28"/>
              </w:rPr>
              <w:t>空品區</w:t>
            </w:r>
            <w:proofErr w:type="gramEnd"/>
            <w:r>
              <w:rPr>
                <w:rFonts w:ascii="標楷體" w:eastAsia="標楷體" w:hAnsi="標楷體" w:cs="標楷體"/>
                <w:sz w:val="28"/>
              </w:rPr>
              <w:t>都市車輛污染排放及管制措施推動成效</w:t>
            </w:r>
            <w:r>
              <w:rPr>
                <w:rFonts w:ascii="標楷體" w:eastAsia="標楷體" w:hAnsi="標楷體" w:cs="標楷體"/>
                <w:sz w:val="28"/>
              </w:rPr>
              <w:t>?</w:t>
            </w:r>
            <w:r>
              <w:rPr>
                <w:rFonts w:ascii="標楷體" w:eastAsia="標楷體" w:hAnsi="標楷體" w:cs="標楷體"/>
                <w:sz w:val="28"/>
              </w:rPr>
              <w:t>各行政區域易受空氣污染影響之群體空氣品質監測</w:t>
            </w:r>
            <w:r>
              <w:rPr>
                <w:rFonts w:ascii="標楷體" w:eastAsia="標楷體" w:hAnsi="標楷體" w:cs="標楷體"/>
                <w:sz w:val="28"/>
              </w:rPr>
              <w:t>PM2.5</w:t>
            </w:r>
            <w:r>
              <w:rPr>
                <w:rFonts w:ascii="標楷體" w:eastAsia="標楷體" w:hAnsi="標楷體" w:cs="標楷體"/>
                <w:sz w:val="28"/>
              </w:rPr>
              <w:t>及</w:t>
            </w:r>
            <w:r>
              <w:rPr>
                <w:rFonts w:ascii="標楷體" w:eastAsia="標楷體" w:hAnsi="標楷體" w:cs="標楷體"/>
                <w:sz w:val="28"/>
              </w:rPr>
              <w:t>PM10</w:t>
            </w:r>
            <w:r>
              <w:rPr>
                <w:rFonts w:ascii="標楷體" w:eastAsia="標楷體" w:hAnsi="標楷體" w:cs="標楷體"/>
                <w:sz w:val="28"/>
              </w:rPr>
              <w:t>濃度年平均排放量數值、具體防治作為及未來之規劃</w:t>
            </w:r>
            <w:r>
              <w:rPr>
                <w:rFonts w:ascii="標楷體" w:eastAsia="標楷體" w:hAnsi="標楷體" w:cs="標楷體"/>
                <w:sz w:val="28"/>
              </w:rPr>
              <w:t>?</w:t>
            </w:r>
          </w:p>
        </w:tc>
        <w:tc>
          <w:tcPr>
            <w:tcW w:w="0" w:type="auto"/>
            <w:vAlign w:val="center"/>
          </w:tcPr>
          <w:p w:rsidR="00EE75EA" w:rsidRDefault="00AA3540">
            <w:r>
              <w:rPr>
                <w:rFonts w:ascii="標楷體" w:eastAsia="標楷體" w:hAnsi="標楷體" w:cs="標楷體"/>
                <w:sz w:val="28"/>
              </w:rPr>
              <w:t>本市推動清新空氣行動，去年</w:t>
            </w:r>
            <w:r>
              <w:rPr>
                <w:rFonts w:ascii="標楷體" w:eastAsia="標楷體" w:hAnsi="標楷體" w:cs="標楷體"/>
                <w:sz w:val="28"/>
              </w:rPr>
              <w:t>PM2.5</w:t>
            </w:r>
            <w:r>
              <w:rPr>
                <w:rFonts w:ascii="標楷體" w:eastAsia="標楷體" w:hAnsi="標楷體" w:cs="標楷體"/>
                <w:sz w:val="28"/>
              </w:rPr>
              <w:t>已達</w:t>
            </w:r>
            <w:r>
              <w:rPr>
                <w:rFonts w:ascii="標楷體" w:eastAsia="標楷體" w:hAnsi="標楷體" w:cs="標楷體"/>
                <w:sz w:val="28"/>
              </w:rPr>
              <w:t>12.1μg/m3</w:t>
            </w:r>
            <w:proofErr w:type="gramStart"/>
            <w:r>
              <w:rPr>
                <w:rFonts w:ascii="標楷體" w:eastAsia="標楷體" w:hAnsi="標楷體" w:cs="標楷體"/>
                <w:sz w:val="28"/>
              </w:rPr>
              <w:t>六</w:t>
            </w:r>
            <w:proofErr w:type="gramEnd"/>
            <w:r>
              <w:rPr>
                <w:rFonts w:ascii="標楷體" w:eastAsia="標楷體" w:hAnsi="標楷體" w:cs="標楷體"/>
                <w:sz w:val="28"/>
              </w:rPr>
              <w:t>都第一。為邁向</w:t>
            </w:r>
            <w:proofErr w:type="gramStart"/>
            <w:r>
              <w:rPr>
                <w:rFonts w:ascii="標楷體" w:eastAsia="標楷體" w:hAnsi="標楷體" w:cs="標楷體"/>
                <w:sz w:val="28"/>
              </w:rPr>
              <w:t>世</w:t>
            </w:r>
            <w:proofErr w:type="gramEnd"/>
            <w:r>
              <w:rPr>
                <w:rFonts w:ascii="標楷體" w:eastAsia="標楷體" w:hAnsi="標楷體" w:cs="標楷體"/>
                <w:sz w:val="28"/>
              </w:rPr>
              <w:t>衛</w:t>
            </w:r>
            <w:proofErr w:type="gramStart"/>
            <w:r>
              <w:rPr>
                <w:rFonts w:ascii="標楷體" w:eastAsia="標楷體" w:hAnsi="標楷體" w:cs="標楷體"/>
                <w:sz w:val="28"/>
              </w:rPr>
              <w:t>級空品</w:t>
            </w:r>
            <w:proofErr w:type="gramEnd"/>
            <w:r>
              <w:rPr>
                <w:rFonts w:ascii="標楷體" w:eastAsia="標楷體" w:hAnsi="標楷體" w:cs="標楷體"/>
                <w:sz w:val="28"/>
              </w:rPr>
              <w:t>，本市</w:t>
            </w:r>
            <w:r>
              <w:rPr>
                <w:rFonts w:ascii="標楷體" w:eastAsia="標楷體" w:hAnsi="標楷體" w:cs="標楷體"/>
                <w:sz w:val="28"/>
              </w:rPr>
              <w:t>110</w:t>
            </w:r>
            <w:r>
              <w:rPr>
                <w:rFonts w:ascii="標楷體" w:eastAsia="標楷體" w:hAnsi="標楷體" w:cs="標楷體"/>
                <w:sz w:val="28"/>
              </w:rPr>
              <w:t>年劃設</w:t>
            </w:r>
            <w:proofErr w:type="gramStart"/>
            <w:r>
              <w:rPr>
                <w:rFonts w:ascii="標楷體" w:eastAsia="標楷體" w:hAnsi="標楷體" w:cs="標楷體"/>
                <w:sz w:val="28"/>
              </w:rPr>
              <w:t>空維區</w:t>
            </w:r>
            <w:proofErr w:type="gramEnd"/>
            <w:r>
              <w:rPr>
                <w:rFonts w:ascii="標楷體" w:eastAsia="標楷體" w:hAnsi="標楷體" w:cs="標楷體"/>
                <w:sz w:val="28"/>
              </w:rPr>
              <w:t>，加嚴車輛廢氣管制。</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1-5</w:t>
            </w:r>
            <w:r>
              <w:rPr>
                <w:rFonts w:ascii="標楷體" w:eastAsia="標楷體" w:hAnsi="標楷體" w:cs="標楷體"/>
                <w:sz w:val="28"/>
              </w:rPr>
              <w:t>台北市獨居老人總數及各區人數</w:t>
            </w:r>
            <w:r>
              <w:rPr>
                <w:rFonts w:ascii="標楷體" w:eastAsia="標楷體" w:hAnsi="標楷體" w:cs="標楷體"/>
                <w:sz w:val="28"/>
              </w:rPr>
              <w:t>?</w:t>
            </w:r>
            <w:r>
              <w:rPr>
                <w:rFonts w:ascii="標楷體" w:eastAsia="標楷體" w:hAnsi="標楷體" w:cs="標楷體"/>
                <w:sz w:val="28"/>
              </w:rPr>
              <w:t>中低收入老人總數及各區人數</w:t>
            </w:r>
            <w:r>
              <w:rPr>
                <w:rFonts w:ascii="標楷體" w:eastAsia="標楷體" w:hAnsi="標楷體" w:cs="標楷體"/>
                <w:sz w:val="28"/>
              </w:rPr>
              <w:t>? (</w:t>
            </w:r>
            <w:r>
              <w:rPr>
                <w:rFonts w:ascii="標楷體" w:eastAsia="標楷體" w:hAnsi="標楷體" w:cs="標楷體"/>
                <w:sz w:val="28"/>
              </w:rPr>
              <w:t>社</w:t>
            </w:r>
            <w:r>
              <w:rPr>
                <w:rFonts w:ascii="標楷體" w:eastAsia="標楷體" w:hAnsi="標楷體" w:cs="標楷體"/>
                <w:sz w:val="28"/>
              </w:rPr>
              <w:t>)</w:t>
            </w:r>
          </w:p>
        </w:tc>
        <w:tc>
          <w:tcPr>
            <w:tcW w:w="0" w:type="auto"/>
            <w:vAlign w:val="center"/>
          </w:tcPr>
          <w:p w:rsidR="00EE75EA" w:rsidRDefault="00AA3540">
            <w:r>
              <w:rPr>
                <w:rFonts w:ascii="標楷體" w:eastAsia="標楷體" w:hAnsi="標楷體" w:cs="標楷體"/>
                <w:sz w:val="28"/>
              </w:rPr>
              <w:t>本市目前</w:t>
            </w:r>
            <w:r>
              <w:rPr>
                <w:rFonts w:ascii="標楷體" w:eastAsia="標楷體" w:hAnsi="標楷體" w:cs="標楷體"/>
                <w:sz w:val="28"/>
              </w:rPr>
              <w:t>65</w:t>
            </w:r>
            <w:r>
              <w:rPr>
                <w:rFonts w:ascii="標楷體" w:eastAsia="標楷體" w:hAnsi="標楷體" w:cs="標楷體"/>
                <w:sz w:val="28"/>
              </w:rPr>
              <w:t>歲低收入戶老人計</w:t>
            </w:r>
            <w:r>
              <w:rPr>
                <w:rFonts w:ascii="標楷體" w:eastAsia="標楷體" w:hAnsi="標楷體" w:cs="標楷體"/>
                <w:sz w:val="28"/>
              </w:rPr>
              <w:t>7,806</w:t>
            </w:r>
            <w:r>
              <w:rPr>
                <w:rFonts w:ascii="標楷體" w:eastAsia="標楷體" w:hAnsi="標楷體" w:cs="標楷體"/>
                <w:sz w:val="28"/>
              </w:rPr>
              <w:t>人、中低收入老人計</w:t>
            </w:r>
            <w:r>
              <w:rPr>
                <w:rFonts w:ascii="標楷體" w:eastAsia="標楷體" w:hAnsi="標楷體" w:cs="標楷體"/>
                <w:sz w:val="28"/>
              </w:rPr>
              <w:t>1,437</w:t>
            </w:r>
            <w:r>
              <w:rPr>
                <w:rFonts w:ascii="標楷體" w:eastAsia="標楷體" w:hAnsi="標楷體" w:cs="標楷體"/>
                <w:sz w:val="28"/>
              </w:rPr>
              <w:t>人、中低老人生活津貼計</w:t>
            </w:r>
            <w:r>
              <w:rPr>
                <w:rFonts w:ascii="標楷體" w:eastAsia="標楷體" w:hAnsi="標楷體" w:cs="標楷體"/>
                <w:sz w:val="28"/>
              </w:rPr>
              <w:t>7,354</w:t>
            </w:r>
            <w:r>
              <w:rPr>
                <w:rFonts w:ascii="標楷體" w:eastAsia="標楷體" w:hAnsi="標楷體" w:cs="標楷體"/>
                <w:sz w:val="28"/>
              </w:rPr>
              <w:t>人、列冊獨居長者計</w:t>
            </w:r>
            <w:r>
              <w:rPr>
                <w:rFonts w:ascii="標楷體" w:eastAsia="標楷體" w:hAnsi="標楷體" w:cs="標楷體"/>
                <w:sz w:val="28"/>
              </w:rPr>
              <w:t>7,107</w:t>
            </w:r>
            <w:r>
              <w:rPr>
                <w:rFonts w:ascii="標楷體" w:eastAsia="標楷體" w:hAnsi="標楷體" w:cs="標楷體"/>
                <w:sz w:val="28"/>
              </w:rPr>
              <w:t>人。</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1-6</w:t>
            </w:r>
            <w:r>
              <w:rPr>
                <w:rFonts w:ascii="標楷體" w:eastAsia="標楷體" w:hAnsi="標楷體" w:cs="標楷體"/>
                <w:sz w:val="28"/>
              </w:rPr>
              <w:t>台北市社會住宅是否有針對獨居老人、中低收入老人的規劃</w:t>
            </w:r>
            <w:r>
              <w:rPr>
                <w:rFonts w:ascii="標楷體" w:eastAsia="標楷體" w:hAnsi="標楷體" w:cs="標楷體"/>
                <w:sz w:val="28"/>
              </w:rPr>
              <w:t>?</w:t>
            </w:r>
            <w:r>
              <w:rPr>
                <w:rFonts w:ascii="標楷體" w:eastAsia="標楷體" w:hAnsi="標楷體" w:cs="標楷體"/>
                <w:sz w:val="28"/>
              </w:rPr>
              <w:t>是否可推出「老人住宅」</w:t>
            </w:r>
            <w:r>
              <w:rPr>
                <w:rFonts w:ascii="標楷體" w:eastAsia="標楷體" w:hAnsi="標楷體" w:cs="標楷體"/>
                <w:sz w:val="28"/>
              </w:rPr>
              <w:t>?</w:t>
            </w:r>
          </w:p>
        </w:tc>
        <w:tc>
          <w:tcPr>
            <w:tcW w:w="0" w:type="auto"/>
            <w:vAlign w:val="center"/>
          </w:tcPr>
          <w:p w:rsidR="00EE75EA" w:rsidRDefault="00AA3540">
            <w:r>
              <w:rPr>
                <w:rFonts w:ascii="標楷體" w:eastAsia="標楷體" w:hAnsi="標楷體" w:cs="標楷體"/>
                <w:sz w:val="28"/>
              </w:rPr>
              <w:t>本市老人居住協助包含老人住宅或</w:t>
            </w:r>
            <w:proofErr w:type="gramStart"/>
            <w:r>
              <w:rPr>
                <w:rFonts w:ascii="標楷體" w:eastAsia="標楷體" w:hAnsi="標楷體" w:cs="標楷體"/>
                <w:sz w:val="28"/>
              </w:rPr>
              <w:t>社宅評</w:t>
            </w:r>
            <w:proofErr w:type="gramEnd"/>
            <w:r>
              <w:rPr>
                <w:rFonts w:ascii="標楷體" w:eastAsia="標楷體" w:hAnsi="標楷體" w:cs="標楷體"/>
                <w:sz w:val="28"/>
              </w:rPr>
              <w:t>點制度，輔以租金補助及機構照顧等措施，完善之老人</w:t>
            </w:r>
            <w:r>
              <w:rPr>
                <w:rFonts w:ascii="標楷體" w:eastAsia="標楷體" w:hAnsi="標楷體" w:cs="標楷體"/>
                <w:sz w:val="28"/>
              </w:rPr>
              <w:t>居住協助政策。</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1-7</w:t>
            </w:r>
            <w:r>
              <w:rPr>
                <w:rFonts w:ascii="標楷體" w:eastAsia="標楷體" w:hAnsi="標楷體" w:cs="標楷體"/>
                <w:sz w:val="28"/>
              </w:rPr>
              <w:t>針對</w:t>
            </w:r>
            <w:r>
              <w:rPr>
                <w:rFonts w:ascii="標楷體" w:eastAsia="標楷體" w:hAnsi="標楷體" w:cs="標楷體"/>
                <w:sz w:val="28"/>
              </w:rPr>
              <w:t>65</w:t>
            </w:r>
            <w:r>
              <w:rPr>
                <w:rFonts w:ascii="標楷體" w:eastAsia="標楷體" w:hAnsi="標楷體" w:cs="標楷體"/>
                <w:sz w:val="28"/>
              </w:rPr>
              <w:t>歲以上長者之就業</w:t>
            </w:r>
            <w:r>
              <w:rPr>
                <w:rFonts w:ascii="標楷體" w:eastAsia="標楷體" w:hAnsi="標楷體" w:cs="標楷體"/>
                <w:sz w:val="28"/>
              </w:rPr>
              <w:t>.</w:t>
            </w:r>
            <w:r>
              <w:rPr>
                <w:rFonts w:ascii="標楷體" w:eastAsia="標楷體" w:hAnsi="標楷體" w:cs="標楷體"/>
                <w:sz w:val="28"/>
              </w:rPr>
              <w:t>創業有何政策、訓練補助及幫助</w:t>
            </w:r>
          </w:p>
        </w:tc>
        <w:tc>
          <w:tcPr>
            <w:tcW w:w="0" w:type="auto"/>
            <w:vAlign w:val="center"/>
          </w:tcPr>
          <w:p w:rsidR="00EE75EA" w:rsidRDefault="00AA3540">
            <w:r>
              <w:rPr>
                <w:rFonts w:ascii="標楷體" w:eastAsia="標楷體" w:hAnsi="標楷體" w:cs="標楷體"/>
                <w:sz w:val="28"/>
              </w:rPr>
              <w:t>措施為設置銀髮職務新創中心、就業諮詢專責櫃檯、銀髮人才服務據點、僱用獎助措施及繼續僱用高齡者</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1-8</w:t>
            </w:r>
            <w:r>
              <w:rPr>
                <w:rFonts w:ascii="標楷體" w:eastAsia="標楷體" w:hAnsi="標楷體" w:cs="標楷體"/>
                <w:sz w:val="28"/>
              </w:rPr>
              <w:t>台北市近三</w:t>
            </w:r>
            <w:proofErr w:type="gramStart"/>
            <w:r>
              <w:rPr>
                <w:rFonts w:ascii="標楷體" w:eastAsia="標楷體" w:hAnsi="標楷體" w:cs="標楷體"/>
                <w:sz w:val="28"/>
              </w:rPr>
              <w:t>年來施打流</w:t>
            </w:r>
            <w:proofErr w:type="gramEnd"/>
            <w:r>
              <w:rPr>
                <w:rFonts w:ascii="標楷體" w:eastAsia="標楷體" w:hAnsi="標楷體" w:cs="標楷體"/>
                <w:sz w:val="28"/>
              </w:rPr>
              <w:t>感及肺炎</w:t>
            </w:r>
            <w:proofErr w:type="gramStart"/>
            <w:r>
              <w:rPr>
                <w:rFonts w:ascii="標楷體" w:eastAsia="標楷體" w:hAnsi="標楷體" w:cs="標楷體"/>
                <w:sz w:val="28"/>
              </w:rPr>
              <w:t>鍊</w:t>
            </w:r>
            <w:proofErr w:type="gramEnd"/>
            <w:r>
              <w:rPr>
                <w:rFonts w:ascii="標楷體" w:eastAsia="標楷體" w:hAnsi="標楷體" w:cs="標楷體"/>
                <w:sz w:val="28"/>
              </w:rPr>
              <w:t>菌疫苗人數？編列預算、購買量劑、每劑費用為何？台北市</w:t>
            </w:r>
            <w:proofErr w:type="gramStart"/>
            <w:r>
              <w:rPr>
                <w:rFonts w:ascii="標楷體" w:eastAsia="標楷體" w:hAnsi="標楷體" w:cs="標楷體"/>
                <w:sz w:val="28"/>
              </w:rPr>
              <w:t>迄今新冠疫苗</w:t>
            </w:r>
            <w:proofErr w:type="gramEnd"/>
            <w:r>
              <w:rPr>
                <w:rFonts w:ascii="標楷體" w:eastAsia="標楷體" w:hAnsi="標楷體" w:cs="標楷體"/>
                <w:sz w:val="28"/>
              </w:rPr>
              <w:t>各廠牌施打情形、不同</w:t>
            </w:r>
            <w:proofErr w:type="gramStart"/>
            <w:r>
              <w:rPr>
                <w:rFonts w:ascii="標楷體" w:eastAsia="標楷體" w:hAnsi="標楷體" w:cs="標楷體"/>
                <w:sz w:val="28"/>
              </w:rPr>
              <w:t>年齡層施打</w:t>
            </w:r>
            <w:proofErr w:type="gramEnd"/>
            <w:r>
              <w:rPr>
                <w:rFonts w:ascii="標楷體" w:eastAsia="標楷體" w:hAnsi="標楷體" w:cs="標楷體"/>
                <w:sz w:val="28"/>
              </w:rPr>
              <w:t>比率、第一劑及第二劑施打率及覆蓋率</w:t>
            </w:r>
            <w:r>
              <w:rPr>
                <w:rFonts w:ascii="標楷體" w:eastAsia="標楷體" w:hAnsi="標楷體" w:cs="標楷體"/>
                <w:sz w:val="28"/>
              </w:rPr>
              <w:t>?</w:t>
            </w:r>
            <w:r>
              <w:rPr>
                <w:rFonts w:ascii="標楷體" w:eastAsia="標楷體" w:hAnsi="標楷體" w:cs="標楷體"/>
                <w:sz w:val="28"/>
              </w:rPr>
              <w:t>施</w:t>
            </w:r>
            <w:proofErr w:type="gramStart"/>
            <w:r>
              <w:rPr>
                <w:rFonts w:ascii="標楷體" w:eastAsia="標楷體" w:hAnsi="標楷體" w:cs="標楷體"/>
                <w:sz w:val="28"/>
              </w:rPr>
              <w:t>打新</w:t>
            </w:r>
            <w:r>
              <w:rPr>
                <w:rFonts w:ascii="標楷體" w:eastAsia="標楷體" w:hAnsi="標楷體" w:cs="標楷體"/>
                <w:sz w:val="28"/>
              </w:rPr>
              <w:lastRenderedPageBreak/>
              <w:t>冠疫苗</w:t>
            </w:r>
            <w:proofErr w:type="gramEnd"/>
            <w:r>
              <w:rPr>
                <w:rFonts w:ascii="標楷體" w:eastAsia="標楷體" w:hAnsi="標楷體" w:cs="標楷體"/>
                <w:sz w:val="28"/>
              </w:rPr>
              <w:t>的量能為何</w:t>
            </w:r>
            <w:r>
              <w:rPr>
                <w:rFonts w:ascii="標楷體" w:eastAsia="標楷體" w:hAnsi="標楷體" w:cs="標楷體"/>
                <w:sz w:val="28"/>
              </w:rPr>
              <w:t xml:space="preserve">? </w:t>
            </w:r>
            <w:r>
              <w:rPr>
                <w:rFonts w:ascii="標楷體" w:eastAsia="標楷體" w:hAnsi="標楷體" w:cs="標楷體"/>
                <w:sz w:val="28"/>
              </w:rPr>
              <w:t>哪些醫療院所在施</w:t>
            </w:r>
            <w:proofErr w:type="gramStart"/>
            <w:r>
              <w:rPr>
                <w:rFonts w:ascii="標楷體" w:eastAsia="標楷體" w:hAnsi="標楷體" w:cs="標楷體"/>
                <w:sz w:val="28"/>
              </w:rPr>
              <w:t>打新冠疫苗</w:t>
            </w:r>
            <w:proofErr w:type="gramEnd"/>
            <w:r>
              <w:rPr>
                <w:rFonts w:ascii="標楷體" w:eastAsia="標楷體" w:hAnsi="標楷體" w:cs="標楷體"/>
                <w:sz w:val="28"/>
              </w:rPr>
              <w:t>或檢驗抗體上有違規、市府如何查處、後續政風及檢調偵辦情形</w:t>
            </w:r>
            <w:r>
              <w:rPr>
                <w:rFonts w:ascii="標楷體" w:eastAsia="標楷體" w:hAnsi="標楷體" w:cs="標楷體"/>
                <w:sz w:val="28"/>
              </w:rPr>
              <w:t>?</w:t>
            </w:r>
            <w:r>
              <w:rPr>
                <w:rFonts w:ascii="標楷體" w:eastAsia="標楷體" w:hAnsi="標楷體" w:cs="標楷體"/>
                <w:sz w:val="28"/>
              </w:rPr>
              <w:t>（衛、政）</w:t>
            </w:r>
          </w:p>
        </w:tc>
        <w:tc>
          <w:tcPr>
            <w:tcW w:w="0" w:type="auto"/>
            <w:vAlign w:val="center"/>
          </w:tcPr>
          <w:p w:rsidR="00EE75EA" w:rsidRDefault="00AA3540">
            <w:r>
              <w:rPr>
                <w:rFonts w:ascii="標楷體" w:eastAsia="標楷體" w:hAnsi="標楷體" w:cs="標楷體"/>
                <w:sz w:val="28"/>
              </w:rPr>
              <w:lastRenderedPageBreak/>
              <w:t>近三年（</w:t>
            </w:r>
            <w:r>
              <w:rPr>
                <w:rFonts w:ascii="標楷體" w:eastAsia="標楷體" w:hAnsi="標楷體" w:cs="標楷體"/>
                <w:sz w:val="28"/>
              </w:rPr>
              <w:t>108</w:t>
            </w:r>
            <w:r>
              <w:rPr>
                <w:rFonts w:ascii="標楷體" w:eastAsia="標楷體" w:hAnsi="標楷體" w:cs="標楷體"/>
                <w:sz w:val="28"/>
              </w:rPr>
              <w:t>年</w:t>
            </w:r>
            <w:r>
              <w:rPr>
                <w:rFonts w:ascii="標楷體" w:eastAsia="標楷體" w:hAnsi="標楷體" w:cs="標楷體"/>
                <w:sz w:val="28"/>
              </w:rPr>
              <w:t>-110</w:t>
            </w:r>
            <w:r>
              <w:rPr>
                <w:rFonts w:ascii="標楷體" w:eastAsia="標楷體" w:hAnsi="標楷體" w:cs="標楷體"/>
                <w:sz w:val="28"/>
              </w:rPr>
              <w:t>年）流感及肺炎</w:t>
            </w:r>
            <w:proofErr w:type="gramStart"/>
            <w:r>
              <w:rPr>
                <w:rFonts w:ascii="標楷體" w:eastAsia="標楷體" w:hAnsi="標楷體" w:cs="標楷體"/>
                <w:sz w:val="28"/>
              </w:rPr>
              <w:t>鍊</w:t>
            </w:r>
            <w:proofErr w:type="gramEnd"/>
            <w:r>
              <w:rPr>
                <w:rFonts w:ascii="標楷體" w:eastAsia="標楷體" w:hAnsi="標楷體" w:cs="標楷體"/>
                <w:sz w:val="28"/>
              </w:rPr>
              <w:t>菌疫苗人數、</w:t>
            </w:r>
            <w:proofErr w:type="gramStart"/>
            <w:r>
              <w:rPr>
                <w:rFonts w:ascii="標楷體" w:eastAsia="標楷體" w:hAnsi="標楷體" w:cs="標楷體"/>
                <w:sz w:val="28"/>
              </w:rPr>
              <w:t>新冠疫苗</w:t>
            </w:r>
            <w:proofErr w:type="gramEnd"/>
            <w:r>
              <w:rPr>
                <w:rFonts w:ascii="標楷體" w:eastAsia="標楷體" w:hAnsi="標楷體" w:cs="標楷體"/>
                <w:sz w:val="28"/>
              </w:rPr>
              <w:t>各廠牌施打情形</w:t>
            </w:r>
            <w:proofErr w:type="gramStart"/>
            <w:r>
              <w:rPr>
                <w:rFonts w:ascii="標楷體" w:eastAsia="標楷體" w:hAnsi="標楷體" w:cs="標楷體"/>
                <w:sz w:val="28"/>
              </w:rPr>
              <w:t>及新冠疫苗</w:t>
            </w:r>
            <w:proofErr w:type="gramEnd"/>
            <w:r>
              <w:rPr>
                <w:rFonts w:ascii="標楷體" w:eastAsia="標楷體" w:hAnsi="標楷體" w:cs="標楷體"/>
                <w:sz w:val="28"/>
              </w:rPr>
              <w:t>或檢驗抗體上有違規情形如表列</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1-9</w:t>
            </w:r>
            <w:r>
              <w:rPr>
                <w:rFonts w:ascii="標楷體" w:eastAsia="標楷體" w:hAnsi="標楷體" w:cs="標楷體"/>
                <w:sz w:val="28"/>
              </w:rPr>
              <w:t>關於人民陳情、請願，</w:t>
            </w:r>
            <w:proofErr w:type="gramStart"/>
            <w:r>
              <w:rPr>
                <w:rFonts w:ascii="標楷體" w:eastAsia="標楷體" w:hAnsi="標楷體" w:cs="標楷體"/>
                <w:sz w:val="28"/>
              </w:rPr>
              <w:t>其路權</w:t>
            </w:r>
            <w:proofErr w:type="gramEnd"/>
            <w:r>
              <w:rPr>
                <w:rFonts w:ascii="標楷體" w:eastAsia="標楷體" w:hAnsi="標楷體" w:cs="標楷體"/>
                <w:sz w:val="28"/>
              </w:rPr>
              <w:t>、場地、公園等費用，收費過高？可否調降？限制可否放寬？</w:t>
            </w:r>
          </w:p>
        </w:tc>
        <w:tc>
          <w:tcPr>
            <w:tcW w:w="0" w:type="auto"/>
            <w:vAlign w:val="center"/>
          </w:tcPr>
          <w:p w:rsidR="00EE75EA" w:rsidRDefault="00AA3540">
            <w:r>
              <w:rPr>
                <w:rFonts w:ascii="標楷體" w:eastAsia="標楷體" w:hAnsi="標楷體" w:cs="標楷體"/>
                <w:sz w:val="28"/>
              </w:rPr>
              <w:t>使用公園場地辦理集會遊行活動，無論集會遊行的性質或目的，收取規費及保證金等相關費用係依規費法的規定辦理。</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1-10</w:t>
            </w:r>
            <w:r>
              <w:rPr>
                <w:rFonts w:ascii="標楷體" w:eastAsia="標楷體" w:hAnsi="標楷體" w:cs="標楷體"/>
                <w:sz w:val="28"/>
              </w:rPr>
              <w:t>年底四大公投的議題。</w:t>
            </w:r>
          </w:p>
        </w:tc>
        <w:tc>
          <w:tcPr>
            <w:tcW w:w="0" w:type="auto"/>
            <w:vAlign w:val="center"/>
          </w:tcPr>
          <w:p w:rsidR="00EE75EA" w:rsidRDefault="00AA3540">
            <w:r>
              <w:rPr>
                <w:rFonts w:ascii="標楷體" w:eastAsia="標楷體" w:hAnsi="標楷體" w:cs="標楷體"/>
                <w:sz w:val="28"/>
              </w:rPr>
              <w:t>依據中央選舉委員會發布，</w:t>
            </w:r>
            <w:r>
              <w:rPr>
                <w:rFonts w:ascii="標楷體" w:eastAsia="標楷體" w:hAnsi="標楷體" w:cs="標楷體"/>
                <w:sz w:val="28"/>
              </w:rPr>
              <w:t>110</w:t>
            </w:r>
            <w:r>
              <w:rPr>
                <w:rFonts w:ascii="標楷體" w:eastAsia="標楷體" w:hAnsi="標楷體" w:cs="標楷體"/>
                <w:sz w:val="28"/>
              </w:rPr>
              <w:t>年全國性公民投票案第</w:t>
            </w:r>
            <w:r>
              <w:rPr>
                <w:rFonts w:ascii="標楷體" w:eastAsia="標楷體" w:hAnsi="標楷體" w:cs="標楷體"/>
                <w:sz w:val="28"/>
              </w:rPr>
              <w:t>17</w:t>
            </w:r>
            <w:r>
              <w:rPr>
                <w:rFonts w:ascii="標楷體" w:eastAsia="標楷體" w:hAnsi="標楷體" w:cs="標楷體"/>
                <w:sz w:val="28"/>
              </w:rPr>
              <w:t>案至</w:t>
            </w:r>
            <w:r>
              <w:rPr>
                <w:rFonts w:ascii="標楷體" w:eastAsia="標楷體" w:hAnsi="標楷體" w:cs="標楷體"/>
                <w:sz w:val="28"/>
              </w:rPr>
              <w:t>20</w:t>
            </w:r>
            <w:r>
              <w:rPr>
                <w:rFonts w:ascii="標楷體" w:eastAsia="標楷體" w:hAnsi="標楷體" w:cs="標楷體"/>
                <w:sz w:val="28"/>
              </w:rPr>
              <w:t>案主文如說明。</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1-11</w:t>
            </w:r>
            <w:r>
              <w:rPr>
                <w:rFonts w:ascii="標楷體" w:eastAsia="標楷體" w:hAnsi="標楷體" w:cs="標楷體"/>
                <w:sz w:val="28"/>
              </w:rPr>
              <w:t>士林北投科技園區</w:t>
            </w:r>
            <w:r>
              <w:rPr>
                <w:rFonts w:ascii="標楷體" w:eastAsia="標楷體" w:hAnsi="標楷體" w:cs="標楷體"/>
                <w:sz w:val="28"/>
              </w:rPr>
              <w:t>T16</w:t>
            </w:r>
            <w:r>
              <w:rPr>
                <w:rFonts w:ascii="標楷體" w:eastAsia="標楷體" w:hAnsi="標楷體" w:cs="標楷體"/>
                <w:sz w:val="28"/>
              </w:rPr>
              <w:t>、</w:t>
            </w:r>
            <w:r>
              <w:rPr>
                <w:rFonts w:ascii="標楷體" w:eastAsia="標楷體" w:hAnsi="標楷體" w:cs="標楷體"/>
                <w:sz w:val="28"/>
              </w:rPr>
              <w:t>T17</w:t>
            </w:r>
            <w:r>
              <w:rPr>
                <w:rFonts w:ascii="標楷體" w:eastAsia="標楷體" w:hAnsi="標楷體" w:cs="標楷體"/>
                <w:sz w:val="28"/>
              </w:rPr>
              <w:t>及</w:t>
            </w:r>
            <w:r>
              <w:rPr>
                <w:rFonts w:ascii="標楷體" w:eastAsia="標楷體" w:hAnsi="標楷體" w:cs="標楷體"/>
                <w:sz w:val="28"/>
              </w:rPr>
              <w:t>T18</w:t>
            </w:r>
            <w:r>
              <w:rPr>
                <w:rFonts w:ascii="標楷體" w:eastAsia="標楷體" w:hAnsi="標楷體" w:cs="標楷體"/>
                <w:sz w:val="28"/>
              </w:rPr>
              <w:t>產業專用區地上權權利金過低，請說明如何估價？</w:t>
            </w:r>
          </w:p>
        </w:tc>
        <w:tc>
          <w:tcPr>
            <w:tcW w:w="0" w:type="auto"/>
            <w:vAlign w:val="center"/>
          </w:tcPr>
          <w:p w:rsidR="00EE75EA" w:rsidRDefault="00AA3540">
            <w:r>
              <w:rPr>
                <w:rFonts w:ascii="標楷體" w:eastAsia="標楷體" w:hAnsi="標楷體" w:cs="標楷體"/>
                <w:sz w:val="28"/>
              </w:rPr>
              <w:t>權利金底價依法由</w:t>
            </w:r>
            <w:r>
              <w:rPr>
                <w:rFonts w:ascii="標楷體" w:eastAsia="標楷體" w:hAnsi="標楷體" w:cs="標楷體"/>
                <w:sz w:val="28"/>
              </w:rPr>
              <w:t>3</w:t>
            </w:r>
            <w:r>
              <w:rPr>
                <w:rFonts w:ascii="標楷體" w:eastAsia="標楷體" w:hAnsi="標楷體" w:cs="標楷體"/>
                <w:sz w:val="28"/>
              </w:rPr>
              <w:t>家不動產估價師進行查估，</w:t>
            </w:r>
            <w:r>
              <w:rPr>
                <w:rFonts w:ascii="標楷體" w:eastAsia="標楷體" w:hAnsi="標楷體" w:cs="標楷體"/>
                <w:sz w:val="28"/>
              </w:rPr>
              <w:t xml:space="preserve"> </w:t>
            </w:r>
            <w:r>
              <w:rPr>
                <w:rFonts w:ascii="標楷體" w:eastAsia="標楷體" w:hAnsi="標楷體" w:cs="標楷體"/>
                <w:sz w:val="28"/>
              </w:rPr>
              <w:t>並經合議制委員會審議同意，估價及訂定底價程序於法有據。</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1-12</w:t>
            </w:r>
            <w:r>
              <w:rPr>
                <w:rFonts w:ascii="標楷體" w:eastAsia="標楷體" w:hAnsi="標楷體" w:cs="標楷體"/>
                <w:sz w:val="28"/>
              </w:rPr>
              <w:t>路邊機車月票市民不買單，每月購買數量僅</w:t>
            </w:r>
            <w:r>
              <w:rPr>
                <w:rFonts w:ascii="標楷體" w:eastAsia="標楷體" w:hAnsi="標楷體" w:cs="標楷體"/>
                <w:sz w:val="28"/>
              </w:rPr>
              <w:t>3</w:t>
            </w:r>
            <w:r>
              <w:rPr>
                <w:rFonts w:ascii="標楷體" w:eastAsia="標楷體" w:hAnsi="標楷體" w:cs="標楷體"/>
                <w:sz w:val="28"/>
              </w:rPr>
              <w:t>千餘張，應開放路邊機車月票可停放公有路外停車場。</w:t>
            </w:r>
          </w:p>
        </w:tc>
        <w:tc>
          <w:tcPr>
            <w:tcW w:w="0" w:type="auto"/>
            <w:vAlign w:val="center"/>
          </w:tcPr>
          <w:p w:rsidR="00EE75EA" w:rsidRDefault="00AA3540">
            <w:r>
              <w:rPr>
                <w:rFonts w:ascii="標楷體" w:eastAsia="標楷體" w:hAnsi="標楷體" w:cs="標楷體"/>
                <w:sz w:val="28"/>
              </w:rPr>
              <w:t>路外停車場與路邊停車格使用特性不同；仍以宣導路邊機車</w:t>
            </w:r>
            <w:proofErr w:type="gramStart"/>
            <w:r>
              <w:rPr>
                <w:rFonts w:ascii="標楷體" w:eastAsia="標楷體" w:hAnsi="標楷體" w:cs="標楷體"/>
                <w:sz w:val="28"/>
              </w:rPr>
              <w:t>月票線上購買</w:t>
            </w:r>
            <w:proofErr w:type="gramEnd"/>
            <w:r>
              <w:rPr>
                <w:rFonts w:ascii="標楷體" w:eastAsia="標楷體" w:hAnsi="標楷體" w:cs="標楷體"/>
                <w:sz w:val="28"/>
              </w:rPr>
              <w:t>優惠為主。</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1-13YouBike2.0</w:t>
            </w:r>
            <w:r>
              <w:rPr>
                <w:rFonts w:ascii="標楷體" w:eastAsia="標楷體" w:hAnsi="標楷體" w:cs="標楷體"/>
                <w:sz w:val="28"/>
              </w:rPr>
              <w:t>建置規劃期程為何？</w:t>
            </w:r>
          </w:p>
        </w:tc>
        <w:tc>
          <w:tcPr>
            <w:tcW w:w="0" w:type="auto"/>
            <w:vAlign w:val="center"/>
          </w:tcPr>
          <w:p w:rsidR="00EE75EA" w:rsidRDefault="00AA3540">
            <w:r>
              <w:rPr>
                <w:rFonts w:ascii="標楷體" w:eastAsia="標楷體" w:hAnsi="標楷體" w:cs="標楷體"/>
                <w:sz w:val="28"/>
              </w:rPr>
              <w:t>自</w:t>
            </w:r>
            <w:r>
              <w:rPr>
                <w:rFonts w:ascii="標楷體" w:eastAsia="標楷體" w:hAnsi="標楷體" w:cs="標楷體"/>
                <w:sz w:val="28"/>
              </w:rPr>
              <w:t>110</w:t>
            </w:r>
            <w:r>
              <w:rPr>
                <w:rFonts w:ascii="標楷體" w:eastAsia="標楷體" w:hAnsi="標楷體" w:cs="標楷體"/>
                <w:sz w:val="28"/>
              </w:rPr>
              <w:t>年起辦理</w:t>
            </w:r>
            <w:r>
              <w:rPr>
                <w:rFonts w:ascii="標楷體" w:eastAsia="標楷體" w:hAnsi="標楷體" w:cs="標楷體"/>
                <w:sz w:val="28"/>
              </w:rPr>
              <w:t>YouBike2.0</w:t>
            </w:r>
            <w:r>
              <w:rPr>
                <w:rFonts w:ascii="標楷體" w:eastAsia="標楷體" w:hAnsi="標楷體" w:cs="標楷體"/>
                <w:sz w:val="28"/>
              </w:rPr>
              <w:t>升級計畫，將全市分為</w:t>
            </w:r>
            <w:r>
              <w:rPr>
                <w:rFonts w:ascii="標楷體" w:eastAsia="標楷體" w:hAnsi="標楷體" w:cs="標楷體"/>
                <w:sz w:val="28"/>
              </w:rPr>
              <w:t>25</w:t>
            </w:r>
            <w:r>
              <w:rPr>
                <w:rFonts w:ascii="標楷體" w:eastAsia="標楷體" w:hAnsi="標楷體" w:cs="標楷體"/>
                <w:sz w:val="28"/>
              </w:rPr>
              <w:t>分區，</w:t>
            </w:r>
            <w:proofErr w:type="gramStart"/>
            <w:r>
              <w:rPr>
                <w:rFonts w:ascii="標楷體" w:eastAsia="標楷體" w:hAnsi="標楷體" w:cs="標楷體"/>
                <w:sz w:val="28"/>
              </w:rPr>
              <w:t>採</w:t>
            </w:r>
            <w:proofErr w:type="gramEnd"/>
            <w:r>
              <w:rPr>
                <w:rFonts w:ascii="標楷體" w:eastAsia="標楷體" w:hAnsi="標楷體" w:cs="標楷體"/>
                <w:sz w:val="28"/>
              </w:rPr>
              <w:t>6</w:t>
            </w:r>
            <w:r>
              <w:rPr>
                <w:rFonts w:ascii="標楷體" w:eastAsia="標楷體" w:hAnsi="標楷體" w:cs="標楷體"/>
                <w:sz w:val="28"/>
              </w:rPr>
              <w:t>組人力同步會</w:t>
            </w:r>
            <w:proofErr w:type="gramStart"/>
            <w:r>
              <w:rPr>
                <w:rFonts w:ascii="標楷體" w:eastAsia="標楷體" w:hAnsi="標楷體" w:cs="標楷體"/>
                <w:sz w:val="28"/>
              </w:rPr>
              <w:t>勘</w:t>
            </w:r>
            <w:proofErr w:type="gramEnd"/>
            <w:r>
              <w:rPr>
                <w:rFonts w:ascii="標楷體" w:eastAsia="標楷體" w:hAnsi="標楷體" w:cs="標楷體"/>
                <w:sz w:val="28"/>
              </w:rPr>
              <w:t>，截至</w:t>
            </w:r>
            <w:r>
              <w:rPr>
                <w:rFonts w:ascii="標楷體" w:eastAsia="標楷體" w:hAnsi="標楷體" w:cs="標楷體"/>
                <w:sz w:val="28"/>
              </w:rPr>
              <w:t>110</w:t>
            </w:r>
            <w:r>
              <w:rPr>
                <w:rFonts w:ascii="標楷體" w:eastAsia="標楷體" w:hAnsi="標楷體" w:cs="標楷體"/>
                <w:sz w:val="28"/>
              </w:rPr>
              <w:t>年</w:t>
            </w:r>
            <w:r>
              <w:rPr>
                <w:rFonts w:ascii="標楷體" w:eastAsia="標楷體" w:hAnsi="標楷體" w:cs="標楷體"/>
                <w:sz w:val="28"/>
              </w:rPr>
              <w:t>11</w:t>
            </w:r>
            <w:r>
              <w:rPr>
                <w:rFonts w:ascii="標楷體" w:eastAsia="標楷體" w:hAnsi="標楷體" w:cs="標楷體"/>
                <w:sz w:val="28"/>
              </w:rPr>
              <w:t>月</w:t>
            </w:r>
            <w:r>
              <w:rPr>
                <w:rFonts w:ascii="標楷體" w:eastAsia="標楷體" w:hAnsi="標楷體" w:cs="標楷體"/>
                <w:sz w:val="28"/>
              </w:rPr>
              <w:t>2</w:t>
            </w:r>
            <w:r>
              <w:rPr>
                <w:rFonts w:ascii="標楷體" w:eastAsia="標楷體" w:hAnsi="標楷體" w:cs="標楷體"/>
                <w:sz w:val="28"/>
              </w:rPr>
              <w:t>日已啟用</w:t>
            </w:r>
            <w:r>
              <w:rPr>
                <w:rFonts w:ascii="標楷體" w:eastAsia="標楷體" w:hAnsi="標楷體" w:cs="標楷體"/>
                <w:sz w:val="28"/>
              </w:rPr>
              <w:t>726</w:t>
            </w:r>
            <w:r>
              <w:rPr>
                <w:rFonts w:ascii="標楷體" w:eastAsia="標楷體" w:hAnsi="標楷體" w:cs="標楷體"/>
                <w:sz w:val="28"/>
              </w:rPr>
              <w:t>站。</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1-14</w:t>
            </w:r>
            <w:r>
              <w:rPr>
                <w:rFonts w:ascii="標楷體" w:eastAsia="標楷體" w:hAnsi="標楷體" w:cs="標楷體"/>
                <w:sz w:val="28"/>
              </w:rPr>
              <w:t>請說明臺北市違章建築處理規則中有關既存違建修繕目</w:t>
            </w:r>
            <w:r>
              <w:rPr>
                <w:rFonts w:ascii="標楷體" w:eastAsia="標楷體" w:hAnsi="標楷體" w:cs="標楷體"/>
                <w:sz w:val="28"/>
              </w:rPr>
              <w:t>前修法辦理進度</w:t>
            </w:r>
          </w:p>
        </w:tc>
        <w:tc>
          <w:tcPr>
            <w:tcW w:w="0" w:type="auto"/>
            <w:vAlign w:val="center"/>
          </w:tcPr>
          <w:p w:rsidR="00EE75EA" w:rsidRDefault="00AA3540">
            <w:r>
              <w:rPr>
                <w:rFonts w:ascii="標楷體" w:eastAsia="標楷體" w:hAnsi="標楷體" w:cs="標楷體"/>
                <w:sz w:val="28"/>
              </w:rPr>
              <w:t>「臺北市違章建築處理規則」修法進度於</w:t>
            </w:r>
            <w:r>
              <w:rPr>
                <w:rFonts w:ascii="標楷體" w:eastAsia="標楷體" w:hAnsi="標楷體" w:cs="標楷體"/>
                <w:sz w:val="28"/>
              </w:rPr>
              <w:t>110</w:t>
            </w:r>
            <w:r>
              <w:rPr>
                <w:rFonts w:ascii="標楷體" w:eastAsia="標楷體" w:hAnsi="標楷體" w:cs="標楷體"/>
                <w:sz w:val="28"/>
              </w:rPr>
              <w:t>年</w:t>
            </w:r>
            <w:r>
              <w:rPr>
                <w:rFonts w:ascii="標楷體" w:eastAsia="標楷體" w:hAnsi="標楷體" w:cs="標楷體"/>
                <w:sz w:val="28"/>
              </w:rPr>
              <w:t>10</w:t>
            </w:r>
            <w:r>
              <w:rPr>
                <w:rFonts w:ascii="標楷體" w:eastAsia="標楷體" w:hAnsi="標楷體" w:cs="標楷體"/>
                <w:sz w:val="28"/>
              </w:rPr>
              <w:t>月</w:t>
            </w:r>
            <w:r>
              <w:rPr>
                <w:rFonts w:ascii="標楷體" w:eastAsia="標楷體" w:hAnsi="標楷體" w:cs="標楷體"/>
                <w:sz w:val="28"/>
              </w:rPr>
              <w:t>28</w:t>
            </w:r>
            <w:r>
              <w:rPr>
                <w:rFonts w:ascii="標楷體" w:eastAsia="標楷體" w:hAnsi="標楷體" w:cs="標楷體"/>
                <w:sz w:val="28"/>
              </w:rPr>
              <w:t>日通過本府法規委員會審議，刻正簽報提起市政會議。</w:t>
            </w:r>
          </w:p>
        </w:tc>
      </w:tr>
      <w:tr w:rsidR="00183EAC">
        <w:tblPrEx>
          <w:tblCellMar>
            <w:top w:w="0" w:type="dxa"/>
            <w:bottom w:w="0" w:type="dxa"/>
          </w:tblCellMar>
        </w:tblPrEx>
        <w:tc>
          <w:tcPr>
            <w:tcW w:w="4819" w:type="dxa"/>
            <w:vAlign w:val="center"/>
          </w:tcPr>
          <w:p w:rsidR="00183EAC" w:rsidRPr="00183EAC" w:rsidRDefault="00183EAC">
            <w:pPr>
              <w:rPr>
                <w:rFonts w:ascii="標楷體" w:eastAsia="標楷體" w:hAnsi="標楷體" w:cs="標楷體"/>
                <w:sz w:val="28"/>
              </w:rPr>
            </w:pPr>
            <w:r w:rsidRPr="00183EAC">
              <w:rPr>
                <w:rFonts w:ascii="標楷體" w:eastAsia="標楷體" w:hAnsi="標楷體" w:cs="標楷體" w:hint="eastAsia"/>
                <w:sz w:val="28"/>
              </w:rPr>
              <w:t>1-15、公投、重啟核四、夜宿凱道……</w:t>
            </w:r>
            <w:bookmarkStart w:id="0" w:name="_GoBack"/>
            <w:bookmarkEnd w:id="0"/>
          </w:p>
        </w:tc>
        <w:tc>
          <w:tcPr>
            <w:tcW w:w="0" w:type="auto"/>
            <w:vAlign w:val="center"/>
          </w:tcPr>
          <w:p w:rsidR="00183EAC" w:rsidRDefault="00183EAC">
            <w:pPr>
              <w:rPr>
                <w:rFonts w:ascii="標楷體" w:eastAsia="標楷體" w:hAnsi="標楷體" w:cs="標楷體"/>
                <w:sz w:val="28"/>
              </w:rPr>
            </w:pPr>
          </w:p>
        </w:tc>
      </w:tr>
      <w:tr w:rsidR="00183EAC" w:rsidTr="00183EAC">
        <w:tblPrEx>
          <w:tblCellMar>
            <w:top w:w="0" w:type="dxa"/>
            <w:bottom w:w="0" w:type="dxa"/>
          </w:tblCellMar>
        </w:tblPrEx>
        <w:tc>
          <w:tcPr>
            <w:tcW w:w="0" w:type="auto"/>
            <w:gridSpan w:val="2"/>
          </w:tcPr>
          <w:p w:rsidR="00EE75EA" w:rsidRDefault="00AA3540">
            <w:pPr>
              <w:jc w:val="center"/>
            </w:pPr>
            <w:r>
              <w:rPr>
                <w:rFonts w:ascii="標楷體" w:eastAsia="標楷體" w:hAnsi="標楷體" w:cs="標楷體"/>
                <w:b/>
                <w:color w:val="7030A0"/>
                <w:sz w:val="40"/>
              </w:rPr>
              <w:t>第</w:t>
            </w:r>
            <w:r>
              <w:rPr>
                <w:rFonts w:ascii="標楷體" w:eastAsia="標楷體" w:hAnsi="標楷體" w:cs="標楷體"/>
                <w:b/>
                <w:color w:val="7030A0"/>
                <w:sz w:val="40"/>
              </w:rPr>
              <w:t>2</w:t>
            </w:r>
            <w:r>
              <w:rPr>
                <w:rFonts w:ascii="標楷體" w:eastAsia="標楷體" w:hAnsi="標楷體" w:cs="標楷體"/>
                <w:b/>
                <w:color w:val="7030A0"/>
                <w:sz w:val="40"/>
              </w:rPr>
              <w:t>組</w:t>
            </w:r>
          </w:p>
        </w:tc>
      </w:tr>
      <w:tr w:rsidR="00183EAC" w:rsidTr="00183EAC">
        <w:tblPrEx>
          <w:tblCellMar>
            <w:top w:w="0" w:type="dxa"/>
            <w:bottom w:w="0" w:type="dxa"/>
          </w:tblCellMar>
        </w:tblPrEx>
        <w:trPr>
          <w:trHeight w:val="397"/>
        </w:trPr>
        <w:tc>
          <w:tcPr>
            <w:tcW w:w="0" w:type="auto"/>
            <w:gridSpan w:val="2"/>
          </w:tcPr>
          <w:p w:rsidR="00EE75EA" w:rsidRDefault="00AA3540">
            <w:pPr>
              <w:jc w:val="center"/>
            </w:pPr>
            <w:r>
              <w:rPr>
                <w:rFonts w:ascii="標楷體" w:eastAsia="標楷體" w:hAnsi="標楷體" w:cs="標楷體"/>
                <w:b/>
                <w:color w:val="00008B"/>
                <w:sz w:val="32"/>
              </w:rPr>
              <w:t>戴錫欽</w:t>
            </w:r>
          </w:p>
        </w:tc>
      </w:tr>
      <w:tr w:rsidR="00EE75EA">
        <w:tblPrEx>
          <w:tblCellMar>
            <w:top w:w="0" w:type="dxa"/>
            <w:bottom w:w="0" w:type="dxa"/>
          </w:tblCellMar>
        </w:tblPrEx>
        <w:tc>
          <w:tcPr>
            <w:tcW w:w="0" w:type="auto"/>
          </w:tcPr>
          <w:p w:rsidR="00EE75EA" w:rsidRDefault="00AA3540">
            <w:pPr>
              <w:jc w:val="center"/>
            </w:pPr>
            <w:r>
              <w:rPr>
                <w:rFonts w:ascii="標楷體" w:eastAsia="標楷體" w:hAnsi="標楷體" w:cs="標楷體"/>
                <w:b/>
                <w:color w:val="00008B"/>
                <w:sz w:val="32"/>
              </w:rPr>
              <w:t>題目</w:t>
            </w:r>
          </w:p>
        </w:tc>
        <w:tc>
          <w:tcPr>
            <w:tcW w:w="0" w:type="auto"/>
          </w:tcPr>
          <w:p w:rsidR="00EE75EA" w:rsidRDefault="00AA3540">
            <w:pPr>
              <w:jc w:val="center"/>
            </w:pPr>
            <w:r>
              <w:rPr>
                <w:rFonts w:ascii="標楷體" w:eastAsia="標楷體" w:hAnsi="標楷體" w:cs="標楷體"/>
                <w:b/>
                <w:color w:val="00008B"/>
                <w:sz w:val="32"/>
              </w:rPr>
              <w:t>答復摘要</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2-1</w:t>
            </w:r>
            <w:r>
              <w:rPr>
                <w:rFonts w:ascii="標楷體" w:eastAsia="標楷體" w:hAnsi="標楷體" w:cs="標楷體"/>
                <w:sz w:val="28"/>
              </w:rPr>
              <w:t>城中城大火後，市府對於本市老舊複合大樓消防安全管理有無相關精進作為？</w:t>
            </w:r>
          </w:p>
        </w:tc>
        <w:tc>
          <w:tcPr>
            <w:tcW w:w="0" w:type="auto"/>
            <w:vAlign w:val="center"/>
          </w:tcPr>
          <w:p w:rsidR="00EE75EA" w:rsidRDefault="00AA3540">
            <w:r>
              <w:rPr>
                <w:rFonts w:ascii="標楷體" w:eastAsia="標楷體" w:hAnsi="標楷體" w:cs="標楷體"/>
                <w:sz w:val="28"/>
              </w:rPr>
              <w:t>清查</w:t>
            </w:r>
            <w:r>
              <w:rPr>
                <w:rFonts w:ascii="標楷體" w:eastAsia="標楷體" w:hAnsi="標楷體" w:cs="標楷體"/>
                <w:sz w:val="28"/>
              </w:rPr>
              <w:t>300</w:t>
            </w:r>
            <w:r>
              <w:rPr>
                <w:rFonts w:ascii="標楷體" w:eastAsia="標楷體" w:hAnsi="標楷體" w:cs="標楷體"/>
                <w:sz w:val="28"/>
              </w:rPr>
              <w:t>棟老舊複合用途大樓；無管委會大樓，調閱</w:t>
            </w:r>
            <w:proofErr w:type="gramStart"/>
            <w:r>
              <w:rPr>
                <w:rFonts w:ascii="標楷體" w:eastAsia="標楷體" w:hAnsi="標楷體" w:cs="標楷體"/>
                <w:sz w:val="28"/>
              </w:rPr>
              <w:t>各區權人</w:t>
            </w:r>
            <w:proofErr w:type="gramEnd"/>
            <w:r>
              <w:rPr>
                <w:rFonts w:ascii="標楷體" w:eastAsia="標楷體" w:hAnsi="標楷體" w:cs="標楷體"/>
                <w:sz w:val="28"/>
              </w:rPr>
              <w:t>，</w:t>
            </w:r>
            <w:proofErr w:type="gramStart"/>
            <w:r>
              <w:rPr>
                <w:rFonts w:ascii="標楷體" w:eastAsia="標楷體" w:hAnsi="標楷體" w:cs="標楷體"/>
                <w:sz w:val="28"/>
              </w:rPr>
              <w:t>辦理限改舉發</w:t>
            </w:r>
            <w:proofErr w:type="gramEnd"/>
            <w:r>
              <w:rPr>
                <w:rFonts w:ascii="標楷體" w:eastAsia="標楷體" w:hAnsi="標楷體" w:cs="標楷體"/>
                <w:sz w:val="28"/>
              </w:rPr>
              <w:t>。排定</w:t>
            </w:r>
            <w:r>
              <w:rPr>
                <w:rFonts w:ascii="標楷體" w:eastAsia="標楷體" w:hAnsi="標楷體" w:cs="標楷體"/>
                <w:sz w:val="28"/>
              </w:rPr>
              <w:t>14</w:t>
            </w:r>
            <w:r>
              <w:rPr>
                <w:rFonts w:ascii="標楷體" w:eastAsia="標楷體" w:hAnsi="標楷體" w:cs="標楷體"/>
                <w:sz w:val="28"/>
              </w:rPr>
              <w:t>處消防演練，加強公共安全。</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2-2</w:t>
            </w:r>
            <w:r>
              <w:rPr>
                <w:rFonts w:ascii="標楷體" w:eastAsia="標楷體" w:hAnsi="標楷體" w:cs="標楷體"/>
                <w:sz w:val="28"/>
              </w:rPr>
              <w:t>對於建物結構安全明顯不佳的危老建築物有無相關輔導機制轉軌辦理都市更新？台北市目前有無案例？市府推動老舊建物都更重建的策略為何？看不到顯著成效</w:t>
            </w:r>
            <w:r>
              <w:rPr>
                <w:rFonts w:ascii="標楷體" w:eastAsia="標楷體" w:hAnsi="標楷體" w:cs="標楷體"/>
                <w:sz w:val="28"/>
              </w:rPr>
              <w:t>!</w:t>
            </w:r>
          </w:p>
        </w:tc>
        <w:tc>
          <w:tcPr>
            <w:tcW w:w="0" w:type="auto"/>
            <w:vAlign w:val="center"/>
          </w:tcPr>
          <w:p w:rsidR="00EE75EA" w:rsidRDefault="00AA3540">
            <w:r>
              <w:rPr>
                <w:rFonts w:ascii="標楷體" w:eastAsia="標楷體" w:hAnsi="標楷體" w:cs="標楷體"/>
                <w:sz w:val="28"/>
              </w:rPr>
              <w:t>本府透過推動公辦都更及加速民辦都更審議機制積極協助老舊建物都更重建，都更績效為全</w:t>
            </w:r>
            <w:proofErr w:type="gramStart"/>
            <w:r>
              <w:rPr>
                <w:rFonts w:ascii="標楷體" w:eastAsia="標楷體" w:hAnsi="標楷體" w:cs="標楷體"/>
                <w:sz w:val="28"/>
              </w:rPr>
              <w:t>臺</w:t>
            </w:r>
            <w:proofErr w:type="gramEnd"/>
            <w:r>
              <w:rPr>
                <w:rFonts w:ascii="標楷體" w:eastAsia="標楷體" w:hAnsi="標楷體" w:cs="標楷體"/>
                <w:sz w:val="28"/>
              </w:rPr>
              <w:t>之冠。</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2-3</w:t>
            </w:r>
            <w:r>
              <w:rPr>
                <w:rFonts w:ascii="標楷體" w:eastAsia="標楷體" w:hAnsi="標楷體" w:cs="標楷體"/>
                <w:sz w:val="28"/>
              </w:rPr>
              <w:t>請說明「臺北市政府受理土地及合法建築物所有權人提議劃定更新地區實</w:t>
            </w:r>
            <w:r>
              <w:rPr>
                <w:rFonts w:ascii="標楷體" w:eastAsia="標楷體" w:hAnsi="標楷體" w:cs="標楷體"/>
                <w:sz w:val="28"/>
              </w:rPr>
              <w:lastRenderedPageBreak/>
              <w:t>施辦法」發布實施迄今，共受理幾件申請案？已</w:t>
            </w:r>
            <w:proofErr w:type="gramStart"/>
            <w:r>
              <w:rPr>
                <w:rFonts w:ascii="標楷體" w:eastAsia="標楷體" w:hAnsi="標楷體" w:cs="標楷體"/>
                <w:sz w:val="28"/>
              </w:rPr>
              <w:t>公告幾案</w:t>
            </w:r>
            <w:proofErr w:type="gramEnd"/>
            <w:r>
              <w:rPr>
                <w:rFonts w:ascii="標楷體" w:eastAsia="標楷體" w:hAnsi="標楷體" w:cs="標楷體"/>
                <w:sz w:val="28"/>
              </w:rPr>
              <w:t>、評估不予</w:t>
            </w:r>
            <w:proofErr w:type="gramStart"/>
            <w:r>
              <w:rPr>
                <w:rFonts w:ascii="標楷體" w:eastAsia="標楷體" w:hAnsi="標楷體" w:cs="標楷體"/>
                <w:sz w:val="28"/>
              </w:rPr>
              <w:t>劃定幾案</w:t>
            </w:r>
            <w:proofErr w:type="gramEnd"/>
            <w:r>
              <w:rPr>
                <w:rFonts w:ascii="標楷體" w:eastAsia="標楷體" w:hAnsi="標楷體" w:cs="標楷體"/>
                <w:sz w:val="28"/>
              </w:rPr>
              <w:t>？原因為何？</w:t>
            </w:r>
          </w:p>
        </w:tc>
        <w:tc>
          <w:tcPr>
            <w:tcW w:w="0" w:type="auto"/>
            <w:vAlign w:val="center"/>
          </w:tcPr>
          <w:p w:rsidR="00EE75EA" w:rsidRDefault="00AA3540">
            <w:r>
              <w:rPr>
                <w:rFonts w:ascii="標楷體" w:eastAsia="標楷體" w:hAnsi="標楷體" w:cs="標楷體"/>
                <w:sz w:val="28"/>
              </w:rPr>
              <w:lastRenderedPageBreak/>
              <w:t>自</w:t>
            </w:r>
            <w:r>
              <w:rPr>
                <w:rFonts w:ascii="標楷體" w:eastAsia="標楷體" w:hAnsi="標楷體" w:cs="標楷體"/>
                <w:sz w:val="28"/>
              </w:rPr>
              <w:t>109</w:t>
            </w:r>
            <w:r>
              <w:rPr>
                <w:rFonts w:ascii="標楷體" w:eastAsia="標楷體" w:hAnsi="標楷體" w:cs="標楷體"/>
                <w:sz w:val="28"/>
              </w:rPr>
              <w:t>年</w:t>
            </w:r>
            <w:r>
              <w:rPr>
                <w:rFonts w:ascii="標楷體" w:eastAsia="標楷體" w:hAnsi="標楷體" w:cs="標楷體"/>
                <w:sz w:val="28"/>
              </w:rPr>
              <w:t>11</w:t>
            </w:r>
            <w:r>
              <w:rPr>
                <w:rFonts w:ascii="標楷體" w:eastAsia="標楷體" w:hAnsi="標楷體" w:cs="標楷體"/>
                <w:sz w:val="28"/>
              </w:rPr>
              <w:t>月</w:t>
            </w:r>
            <w:proofErr w:type="gramStart"/>
            <w:r>
              <w:rPr>
                <w:rFonts w:ascii="標楷體" w:eastAsia="標楷體" w:hAnsi="標楷體" w:cs="標楷體"/>
                <w:sz w:val="28"/>
              </w:rPr>
              <w:t>公告旨揭辦法</w:t>
            </w:r>
            <w:proofErr w:type="gramEnd"/>
            <w:r>
              <w:rPr>
                <w:rFonts w:ascii="標楷體" w:eastAsia="標楷體" w:hAnsi="標楷體" w:cs="標楷體"/>
                <w:sz w:val="28"/>
              </w:rPr>
              <w:t>至今，共計受理</w:t>
            </w:r>
            <w:r>
              <w:rPr>
                <w:rFonts w:ascii="標楷體" w:eastAsia="標楷體" w:hAnsi="標楷體" w:cs="標楷體"/>
                <w:sz w:val="28"/>
              </w:rPr>
              <w:t>5</w:t>
            </w:r>
            <w:r>
              <w:rPr>
                <w:rFonts w:ascii="標楷體" w:eastAsia="標楷體" w:hAnsi="標楷體" w:cs="標楷體"/>
                <w:sz w:val="28"/>
              </w:rPr>
              <w:t>案，已公告實施</w:t>
            </w:r>
            <w:r>
              <w:rPr>
                <w:rFonts w:ascii="標楷體" w:eastAsia="標楷體" w:hAnsi="標楷體" w:cs="標楷體"/>
                <w:sz w:val="28"/>
              </w:rPr>
              <w:t>1</w:t>
            </w:r>
            <w:r>
              <w:rPr>
                <w:rFonts w:ascii="標楷體" w:eastAsia="標楷體" w:hAnsi="標楷體" w:cs="標楷體"/>
                <w:sz w:val="28"/>
              </w:rPr>
              <w:t>案、審查中</w:t>
            </w:r>
            <w:r>
              <w:rPr>
                <w:rFonts w:ascii="標楷體" w:eastAsia="標楷體" w:hAnsi="標楷體" w:cs="標楷體"/>
                <w:sz w:val="28"/>
              </w:rPr>
              <w:lastRenderedPageBreak/>
              <w:t>1</w:t>
            </w:r>
            <w:r>
              <w:rPr>
                <w:rFonts w:ascii="標楷體" w:eastAsia="標楷體" w:hAnsi="標楷體" w:cs="標楷體"/>
                <w:sz w:val="28"/>
              </w:rPr>
              <w:t>案，評估不予劃定計</w:t>
            </w:r>
            <w:r>
              <w:rPr>
                <w:rFonts w:ascii="標楷體" w:eastAsia="標楷體" w:hAnsi="標楷體" w:cs="標楷體"/>
                <w:sz w:val="28"/>
              </w:rPr>
              <w:t>3</w:t>
            </w:r>
            <w:r>
              <w:rPr>
                <w:rFonts w:ascii="標楷體" w:eastAsia="標楷體" w:hAnsi="標楷體" w:cs="標楷體"/>
                <w:sz w:val="28"/>
              </w:rPr>
              <w:t>案。</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2-4</w:t>
            </w:r>
            <w:r>
              <w:rPr>
                <w:rFonts w:ascii="標楷體" w:eastAsia="標楷體" w:hAnsi="標楷體" w:cs="標楷體"/>
                <w:sz w:val="28"/>
              </w:rPr>
              <w:t>動物之家改建案暫緩，市府跳票？</w:t>
            </w:r>
          </w:p>
        </w:tc>
        <w:tc>
          <w:tcPr>
            <w:tcW w:w="0" w:type="auto"/>
            <w:vAlign w:val="center"/>
          </w:tcPr>
          <w:p w:rsidR="00EE75EA" w:rsidRDefault="00AA3540">
            <w:r>
              <w:rPr>
                <w:rFonts w:ascii="標楷體" w:eastAsia="標楷體" w:hAnsi="標楷體" w:cs="標楷體"/>
                <w:sz w:val="28"/>
              </w:rPr>
              <w:t>動物之家主體建築新建工程</w:t>
            </w:r>
            <w:proofErr w:type="gramStart"/>
            <w:r>
              <w:rPr>
                <w:rFonts w:ascii="標楷體" w:eastAsia="標楷體" w:hAnsi="標楷體" w:cs="標楷體"/>
                <w:sz w:val="28"/>
              </w:rPr>
              <w:t>尚待覓地</w:t>
            </w:r>
            <w:proofErr w:type="gramEnd"/>
            <w:r>
              <w:rPr>
                <w:rFonts w:ascii="標楷體" w:eastAsia="標楷體" w:hAnsi="標楷體" w:cs="標楷體"/>
                <w:sz w:val="28"/>
              </w:rPr>
              <w:t>及評估作業，設置地點與空間尚未確定，將審慎衡酌分析評估各地點之可行性。</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2-5</w:t>
            </w:r>
            <w:r>
              <w:rPr>
                <w:rFonts w:ascii="標楷體" w:eastAsia="標楷體" w:hAnsi="標楷體" w:cs="標楷體"/>
                <w:sz w:val="28"/>
              </w:rPr>
              <w:t>市府限</w:t>
            </w:r>
            <w:proofErr w:type="gramStart"/>
            <w:r>
              <w:rPr>
                <w:rFonts w:ascii="標楷體" w:eastAsia="標楷體" w:hAnsi="標楷體" w:cs="標楷體"/>
                <w:sz w:val="28"/>
              </w:rPr>
              <w:t>縮代清潔</w:t>
            </w:r>
            <w:proofErr w:type="gramEnd"/>
            <w:r>
              <w:rPr>
                <w:rFonts w:ascii="標楷體" w:eastAsia="標楷體" w:hAnsi="標楷體" w:cs="標楷體"/>
                <w:sz w:val="28"/>
              </w:rPr>
              <w:t>業者</w:t>
            </w:r>
            <w:r>
              <w:rPr>
                <w:rFonts w:ascii="標楷體" w:eastAsia="標楷體" w:hAnsi="標楷體" w:cs="標楷體"/>
                <w:sz w:val="28"/>
              </w:rPr>
              <w:t>(</w:t>
            </w:r>
            <w:r>
              <w:rPr>
                <w:rFonts w:ascii="標楷體" w:eastAsia="標楷體" w:hAnsi="標楷體" w:cs="標楷體"/>
                <w:sz w:val="28"/>
              </w:rPr>
              <w:t>小蜜蜂</w:t>
            </w:r>
            <w:r>
              <w:rPr>
                <w:rFonts w:ascii="標楷體" w:eastAsia="標楷體" w:hAnsi="標楷體" w:cs="標楷體"/>
                <w:sz w:val="28"/>
              </w:rPr>
              <w:t>)</w:t>
            </w:r>
            <w:r>
              <w:rPr>
                <w:rFonts w:ascii="標楷體" w:eastAsia="標楷體" w:hAnsi="標楷體" w:cs="標楷體"/>
                <w:sz w:val="28"/>
              </w:rPr>
              <w:t>生存空間，</w:t>
            </w:r>
            <w:proofErr w:type="gramStart"/>
            <w:r>
              <w:rPr>
                <w:rFonts w:ascii="標楷體" w:eastAsia="標楷體" w:hAnsi="標楷體" w:cs="標楷體"/>
                <w:sz w:val="28"/>
              </w:rPr>
              <w:t>疑</w:t>
            </w:r>
            <w:proofErr w:type="gramEnd"/>
            <w:r>
              <w:rPr>
                <w:rFonts w:ascii="標楷體" w:eastAsia="標楷體" w:hAnsi="標楷體" w:cs="標楷體"/>
                <w:sz w:val="28"/>
              </w:rPr>
              <w:t>圖利代清除業者</w:t>
            </w:r>
            <w:r>
              <w:rPr>
                <w:rFonts w:ascii="標楷體" w:eastAsia="標楷體" w:hAnsi="標楷體" w:cs="標楷體"/>
                <w:sz w:val="28"/>
              </w:rPr>
              <w:t>?</w:t>
            </w:r>
            <w:r>
              <w:rPr>
                <w:rFonts w:ascii="標楷體" w:eastAsia="標楷體" w:hAnsi="標楷體" w:cs="標楷體"/>
                <w:sz w:val="28"/>
              </w:rPr>
              <w:t>專用垃圾袋政策開倒車，</w:t>
            </w:r>
            <w:proofErr w:type="gramStart"/>
            <w:r>
              <w:rPr>
                <w:rFonts w:ascii="標楷體" w:eastAsia="標楷體" w:hAnsi="標楷體" w:cs="標楷體"/>
                <w:sz w:val="28"/>
              </w:rPr>
              <w:t>恐年增</w:t>
            </w:r>
            <w:proofErr w:type="gramEnd"/>
            <w:r>
              <w:rPr>
                <w:rFonts w:ascii="標楷體" w:eastAsia="標楷體" w:hAnsi="標楷體" w:cs="標楷體"/>
                <w:sz w:val="28"/>
              </w:rPr>
              <w:t>224</w:t>
            </w:r>
            <w:r>
              <w:rPr>
                <w:rFonts w:ascii="標楷體" w:eastAsia="標楷體" w:hAnsi="標楷體" w:cs="標楷體"/>
                <w:sz w:val="28"/>
              </w:rPr>
              <w:t>萬個垃圾袋，產生戴奧辛。</w:t>
            </w:r>
          </w:p>
        </w:tc>
        <w:tc>
          <w:tcPr>
            <w:tcW w:w="0" w:type="auto"/>
            <w:vAlign w:val="center"/>
          </w:tcPr>
          <w:p w:rsidR="00EE75EA" w:rsidRDefault="00AA3540">
            <w:r>
              <w:rPr>
                <w:rFonts w:ascii="標楷體" w:eastAsia="標楷體" w:hAnsi="標楷體" w:cs="標楷體"/>
                <w:sz w:val="28"/>
              </w:rPr>
              <w:t>廢清法第</w:t>
            </w:r>
            <w:r>
              <w:rPr>
                <w:rFonts w:ascii="標楷體" w:eastAsia="標楷體" w:hAnsi="標楷體" w:cs="標楷體"/>
                <w:sz w:val="28"/>
              </w:rPr>
              <w:t>41</w:t>
            </w:r>
            <w:r>
              <w:rPr>
                <w:rFonts w:ascii="標楷體" w:eastAsia="標楷體" w:hAnsi="標楷體" w:cs="標楷體"/>
                <w:sz w:val="28"/>
              </w:rPr>
              <w:t>條，機動車輛受託載運垃圾應有許可證，如小規模個體戶符合中央函釋規定，則可免申請許可證。</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2-62-6</w:t>
            </w:r>
            <w:r>
              <w:rPr>
                <w:rFonts w:ascii="標楷體" w:eastAsia="標楷體" w:hAnsi="標楷體" w:cs="標楷體"/>
                <w:sz w:val="28"/>
              </w:rPr>
              <w:t>、社會住宅議題</w:t>
            </w:r>
            <w:r>
              <w:rPr>
                <w:rFonts w:ascii="標楷體" w:eastAsia="標楷體" w:hAnsi="標楷體" w:cs="標楷體"/>
                <w:sz w:val="28"/>
              </w:rPr>
              <w:t xml:space="preserve"> (</w:t>
            </w:r>
            <w:proofErr w:type="gramStart"/>
            <w:r>
              <w:rPr>
                <w:rFonts w:ascii="標楷體" w:eastAsia="標楷體" w:hAnsi="標楷體" w:cs="標楷體"/>
                <w:sz w:val="28"/>
              </w:rPr>
              <w:t>一</w:t>
            </w:r>
            <w:proofErr w:type="gramEnd"/>
            <w:r>
              <w:rPr>
                <w:rFonts w:ascii="標楷體" w:eastAsia="標楷體" w:hAnsi="標楷體" w:cs="標楷體"/>
                <w:sz w:val="28"/>
              </w:rPr>
              <w:t xml:space="preserve">) </w:t>
            </w:r>
            <w:r>
              <w:rPr>
                <w:rFonts w:ascii="標楷體" w:eastAsia="標楷體" w:hAnsi="標楷體" w:cs="標楷體"/>
                <w:sz w:val="28"/>
              </w:rPr>
              <w:t>中央與北市府興辦之社會住宅情形</w:t>
            </w:r>
            <w:r>
              <w:rPr>
                <w:rFonts w:ascii="標楷體" w:eastAsia="標楷體" w:hAnsi="標楷體" w:cs="標楷體"/>
                <w:sz w:val="28"/>
              </w:rPr>
              <w:t>(</w:t>
            </w:r>
            <w:r>
              <w:rPr>
                <w:rFonts w:ascii="標楷體" w:eastAsia="標楷體" w:hAnsi="標楷體" w:cs="標楷體"/>
                <w:sz w:val="28"/>
              </w:rPr>
              <w:t>規劃中、興建中、已完工等，幾處、戶數</w:t>
            </w:r>
            <w:r>
              <w:rPr>
                <w:rFonts w:ascii="標楷體" w:eastAsia="標楷體" w:hAnsi="標楷體" w:cs="標楷體"/>
                <w:sz w:val="28"/>
              </w:rPr>
              <w:t>) (</w:t>
            </w:r>
            <w:r>
              <w:rPr>
                <w:rFonts w:ascii="標楷體" w:eastAsia="標楷體" w:hAnsi="標楷體" w:cs="標楷體"/>
                <w:sz w:val="28"/>
              </w:rPr>
              <w:t>二</w:t>
            </w:r>
            <w:r>
              <w:rPr>
                <w:rFonts w:ascii="標楷體" w:eastAsia="標楷體" w:hAnsi="標楷體" w:cs="標楷體"/>
                <w:sz w:val="28"/>
              </w:rPr>
              <w:t xml:space="preserve">) </w:t>
            </w:r>
            <w:r>
              <w:rPr>
                <w:rFonts w:ascii="標楷體" w:eastAsia="標楷體" w:hAnsi="標楷體" w:cs="標楷體"/>
                <w:sz w:val="28"/>
              </w:rPr>
              <w:t>興建社會住宅最常遇到民眾反對的原因為何</w:t>
            </w:r>
            <w:r>
              <w:rPr>
                <w:rFonts w:ascii="標楷體" w:eastAsia="標楷體" w:hAnsi="標楷體" w:cs="標楷體"/>
                <w:sz w:val="28"/>
              </w:rPr>
              <w:t>?</w:t>
            </w:r>
            <w:r>
              <w:rPr>
                <w:rFonts w:ascii="標楷體" w:eastAsia="標楷體" w:hAnsi="標楷體" w:cs="標楷體"/>
                <w:sz w:val="28"/>
              </w:rPr>
              <w:t>政府如何回應及解決</w:t>
            </w:r>
            <w:r>
              <w:rPr>
                <w:rFonts w:ascii="標楷體" w:eastAsia="標楷體" w:hAnsi="標楷體" w:cs="標楷體"/>
                <w:sz w:val="28"/>
              </w:rPr>
              <w:t>? (</w:t>
            </w:r>
            <w:r>
              <w:rPr>
                <w:rFonts w:ascii="標楷體" w:eastAsia="標楷體" w:hAnsi="標楷體" w:cs="標楷體"/>
                <w:sz w:val="28"/>
              </w:rPr>
              <w:t>三</w:t>
            </w:r>
            <w:r>
              <w:rPr>
                <w:rFonts w:ascii="標楷體" w:eastAsia="標楷體" w:hAnsi="標楷體" w:cs="標楷體"/>
                <w:sz w:val="28"/>
              </w:rPr>
              <w:t xml:space="preserve">) </w:t>
            </w:r>
            <w:r>
              <w:rPr>
                <w:rFonts w:ascii="標楷體" w:eastAsia="標楷體" w:hAnsi="標楷體" w:cs="標楷體"/>
                <w:sz w:val="28"/>
              </w:rPr>
              <w:t>目前北市社會住宅租金及入住情形</w:t>
            </w:r>
            <w:r>
              <w:rPr>
                <w:rFonts w:ascii="標楷體" w:eastAsia="標楷體" w:hAnsi="標楷體" w:cs="標楷體"/>
                <w:sz w:val="28"/>
              </w:rPr>
              <w:t>?</w:t>
            </w:r>
            <w:r>
              <w:rPr>
                <w:rFonts w:ascii="標楷體" w:eastAsia="標楷體" w:hAnsi="標楷體" w:cs="標楷體"/>
                <w:sz w:val="28"/>
              </w:rPr>
              <w:t>入住民眾最常反映之問題</w:t>
            </w:r>
            <w:r>
              <w:rPr>
                <w:rFonts w:ascii="標楷體" w:eastAsia="標楷體" w:hAnsi="標楷體" w:cs="標楷體"/>
                <w:sz w:val="28"/>
              </w:rPr>
              <w:t>?</w:t>
            </w:r>
            <w:r>
              <w:rPr>
                <w:rFonts w:ascii="標楷體" w:eastAsia="標楷體" w:hAnsi="標楷體" w:cs="標楷體"/>
                <w:sz w:val="28"/>
              </w:rPr>
              <w:t>如何管理及回應</w:t>
            </w:r>
            <w:r>
              <w:rPr>
                <w:rFonts w:ascii="標楷體" w:eastAsia="標楷體" w:hAnsi="標楷體" w:cs="標楷體"/>
                <w:sz w:val="28"/>
              </w:rPr>
              <w:t>?</w:t>
            </w:r>
          </w:p>
        </w:tc>
        <w:tc>
          <w:tcPr>
            <w:tcW w:w="0" w:type="auto"/>
            <w:vAlign w:val="center"/>
          </w:tcPr>
          <w:p w:rsidR="00EE75EA" w:rsidRDefault="00AA3540">
            <w:r>
              <w:rPr>
                <w:rFonts w:ascii="標楷體" w:eastAsia="標楷體" w:hAnsi="標楷體" w:cs="標楷體"/>
                <w:sz w:val="28"/>
              </w:rPr>
              <w:t>中央已編列經費規劃臺北市</w:t>
            </w:r>
            <w:r>
              <w:rPr>
                <w:rFonts w:ascii="標楷體" w:eastAsia="標楷體" w:hAnsi="標楷體" w:cs="標楷體"/>
                <w:sz w:val="28"/>
              </w:rPr>
              <w:t>3</w:t>
            </w:r>
            <w:r>
              <w:rPr>
                <w:rFonts w:ascii="標楷體" w:eastAsia="標楷體" w:hAnsi="標楷體" w:cs="標楷體"/>
                <w:sz w:val="28"/>
              </w:rPr>
              <w:t>案</w:t>
            </w:r>
            <w:r>
              <w:rPr>
                <w:rFonts w:ascii="標楷體" w:eastAsia="標楷體" w:hAnsi="標楷體" w:cs="標楷體"/>
                <w:sz w:val="28"/>
              </w:rPr>
              <w:t>823</w:t>
            </w:r>
            <w:r>
              <w:rPr>
                <w:rFonts w:ascii="標楷體" w:eastAsia="標楷體" w:hAnsi="標楷體" w:cs="標楷體"/>
                <w:sz w:val="28"/>
              </w:rPr>
              <w:t>戶</w:t>
            </w:r>
            <w:r>
              <w:rPr>
                <w:rFonts w:ascii="標楷體" w:eastAsia="標楷體" w:hAnsi="標楷體" w:cs="標楷體"/>
                <w:sz w:val="28"/>
              </w:rPr>
              <w:t>(</w:t>
            </w:r>
            <w:proofErr w:type="gramStart"/>
            <w:r>
              <w:rPr>
                <w:rFonts w:ascii="標楷體" w:eastAsia="標楷體" w:hAnsi="標楷體" w:cs="標楷體"/>
                <w:sz w:val="28"/>
              </w:rPr>
              <w:t>均未開工</w:t>
            </w:r>
            <w:proofErr w:type="gramEnd"/>
            <w:r>
              <w:rPr>
                <w:rFonts w:ascii="標楷體" w:eastAsia="標楷體" w:hAnsi="標楷體" w:cs="標楷體"/>
                <w:sz w:val="28"/>
              </w:rPr>
              <w:t>)</w:t>
            </w:r>
            <w:r>
              <w:rPr>
                <w:rFonts w:ascii="標楷體" w:eastAsia="標楷體" w:hAnsi="標楷體" w:cs="標楷體"/>
                <w:sz w:val="28"/>
              </w:rPr>
              <w:t>。本</w:t>
            </w:r>
            <w:r>
              <w:rPr>
                <w:rFonts w:ascii="標楷體" w:eastAsia="標楷體" w:hAnsi="標楷體" w:cs="標楷體"/>
                <w:sz w:val="28"/>
              </w:rPr>
              <w:t>府興辦</w:t>
            </w:r>
            <w:r>
              <w:rPr>
                <w:rFonts w:ascii="標楷體" w:eastAsia="標楷體" w:hAnsi="標楷體" w:cs="標楷體"/>
                <w:sz w:val="28"/>
              </w:rPr>
              <w:t>19,652</w:t>
            </w:r>
            <w:r>
              <w:rPr>
                <w:rFonts w:ascii="標楷體" w:eastAsia="標楷體" w:hAnsi="標楷體" w:cs="標楷體"/>
                <w:sz w:val="28"/>
              </w:rPr>
              <w:t>戶。周邊居民反映交通及環境衝擊等議題，皆於規劃階段辦理說明會溝通並提出相關配套措施。</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2-7</w:t>
            </w:r>
            <w:r>
              <w:rPr>
                <w:rFonts w:ascii="標楷體" w:eastAsia="標楷體" w:hAnsi="標楷體" w:cs="標楷體"/>
                <w:sz w:val="28"/>
              </w:rPr>
              <w:t>北市</w:t>
            </w:r>
            <w:r>
              <w:rPr>
                <w:rFonts w:ascii="標楷體" w:eastAsia="標楷體" w:hAnsi="標楷體" w:cs="標楷體"/>
                <w:sz w:val="28"/>
              </w:rPr>
              <w:t>105</w:t>
            </w:r>
            <w:r>
              <w:rPr>
                <w:rFonts w:ascii="標楷體" w:eastAsia="標楷體" w:hAnsi="標楷體" w:cs="標楷體"/>
                <w:sz w:val="28"/>
              </w:rPr>
              <w:t>年至今人口增減狀況？生育獎勵金應該增加，第二</w:t>
            </w:r>
            <w:proofErr w:type="gramStart"/>
            <w:r>
              <w:rPr>
                <w:rFonts w:ascii="標楷體" w:eastAsia="標楷體" w:hAnsi="標楷體" w:cs="標楷體"/>
                <w:sz w:val="28"/>
              </w:rPr>
              <w:t>胎</w:t>
            </w:r>
            <w:proofErr w:type="gramEnd"/>
            <w:r>
              <w:rPr>
                <w:rFonts w:ascii="標楷體" w:eastAsia="標楷體" w:hAnsi="標楷體" w:cs="標楷體"/>
                <w:sz w:val="28"/>
              </w:rPr>
              <w:t>兩萬五，第三</w:t>
            </w:r>
            <w:proofErr w:type="gramStart"/>
            <w:r>
              <w:rPr>
                <w:rFonts w:ascii="標楷體" w:eastAsia="標楷體" w:hAnsi="標楷體" w:cs="標楷體"/>
                <w:sz w:val="28"/>
              </w:rPr>
              <w:t>胎</w:t>
            </w:r>
            <w:proofErr w:type="gramEnd"/>
            <w:r>
              <w:rPr>
                <w:rFonts w:ascii="標楷體" w:eastAsia="標楷體" w:hAnsi="標楷體" w:cs="標楷體"/>
                <w:sz w:val="28"/>
              </w:rPr>
              <w:t>以上三萬。</w:t>
            </w:r>
          </w:p>
        </w:tc>
        <w:tc>
          <w:tcPr>
            <w:tcW w:w="0" w:type="auto"/>
            <w:vAlign w:val="center"/>
          </w:tcPr>
          <w:p w:rsidR="00EE75EA" w:rsidRDefault="00AA3540">
            <w:r>
              <w:rPr>
                <w:rFonts w:ascii="標楷體" w:eastAsia="標楷體" w:hAnsi="標楷體" w:cs="標楷體"/>
                <w:sz w:val="28"/>
              </w:rPr>
              <w:t>今年人口減少主因為</w:t>
            </w:r>
            <w:proofErr w:type="gramStart"/>
            <w:r>
              <w:rPr>
                <w:rFonts w:ascii="標楷體" w:eastAsia="標楷體" w:hAnsi="標楷體" w:cs="標楷體"/>
                <w:sz w:val="28"/>
              </w:rPr>
              <w:t>疫</w:t>
            </w:r>
            <w:proofErr w:type="gramEnd"/>
            <w:r>
              <w:rPr>
                <w:rFonts w:ascii="標楷體" w:eastAsia="標楷體" w:hAnsi="標楷體" w:cs="標楷體"/>
                <w:sz w:val="28"/>
              </w:rPr>
              <w:t>情導致遷出國外人口大增；有關第</w:t>
            </w:r>
            <w:r>
              <w:rPr>
                <w:rFonts w:ascii="標楷體" w:eastAsia="標楷體" w:hAnsi="標楷體" w:cs="標楷體"/>
                <w:sz w:val="28"/>
              </w:rPr>
              <w:t>2</w:t>
            </w:r>
            <w:proofErr w:type="gramStart"/>
            <w:r>
              <w:rPr>
                <w:rFonts w:ascii="標楷體" w:eastAsia="標楷體" w:hAnsi="標楷體" w:cs="標楷體"/>
                <w:sz w:val="28"/>
              </w:rPr>
              <w:t>胎</w:t>
            </w:r>
            <w:proofErr w:type="gramEnd"/>
            <w:r>
              <w:rPr>
                <w:rFonts w:ascii="標楷體" w:eastAsia="標楷體" w:hAnsi="標楷體" w:cs="標楷體"/>
                <w:sz w:val="28"/>
              </w:rPr>
              <w:t>以上是否加碼生育獎勵金，</w:t>
            </w:r>
            <w:proofErr w:type="gramStart"/>
            <w:r>
              <w:rPr>
                <w:rFonts w:ascii="標楷體" w:eastAsia="標楷體" w:hAnsi="標楷體" w:cs="標楷體"/>
                <w:sz w:val="28"/>
              </w:rPr>
              <w:t>俟</w:t>
            </w:r>
            <w:proofErr w:type="gramEnd"/>
            <w:r>
              <w:rPr>
                <w:rFonts w:ascii="標楷體" w:eastAsia="標楷體" w:hAnsi="標楷體" w:cs="標楷體"/>
                <w:sz w:val="28"/>
              </w:rPr>
              <w:t>實施一定期間後再評估。</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2-8</w:t>
            </w:r>
            <w:r>
              <w:rPr>
                <w:rFonts w:ascii="標楷體" w:eastAsia="標楷體" w:hAnsi="標楷體" w:cs="標楷體"/>
                <w:sz w:val="28"/>
              </w:rPr>
              <w:t>北市對提高本市出生率，是否考慮推動母嬰友善乘車補助</w:t>
            </w:r>
          </w:p>
        </w:tc>
        <w:tc>
          <w:tcPr>
            <w:tcW w:w="0" w:type="auto"/>
            <w:vAlign w:val="center"/>
          </w:tcPr>
          <w:p w:rsidR="00EE75EA" w:rsidRDefault="00AA3540">
            <w:r>
              <w:rPr>
                <w:rFonts w:ascii="標楷體" w:eastAsia="標楷體" w:hAnsi="標楷體" w:cs="標楷體"/>
                <w:sz w:val="28"/>
              </w:rPr>
              <w:t>本市將不限於好孕專車之補助政策，朝「提升友善生養環境」為總體規劃目標，</w:t>
            </w:r>
            <w:proofErr w:type="gramStart"/>
            <w:r>
              <w:rPr>
                <w:rFonts w:ascii="標楷體" w:eastAsia="標楷體" w:hAnsi="標楷體" w:cs="標楷體"/>
                <w:sz w:val="28"/>
              </w:rPr>
              <w:t>全府政策</w:t>
            </w:r>
            <w:proofErr w:type="gramEnd"/>
            <w:r>
              <w:rPr>
                <w:rFonts w:ascii="標楷體" w:eastAsia="標楷體" w:hAnsi="標楷體" w:cs="標楷體"/>
                <w:sz w:val="28"/>
              </w:rPr>
              <w:t>包裹式</w:t>
            </w:r>
            <w:proofErr w:type="gramStart"/>
            <w:r>
              <w:rPr>
                <w:rFonts w:ascii="標楷體" w:eastAsia="標楷體" w:hAnsi="標楷體" w:cs="標楷體"/>
                <w:sz w:val="28"/>
              </w:rPr>
              <w:t>研</w:t>
            </w:r>
            <w:proofErr w:type="gramEnd"/>
            <w:r>
              <w:rPr>
                <w:rFonts w:ascii="標楷體" w:eastAsia="標楷體" w:hAnsi="標楷體" w:cs="標楷體"/>
                <w:sz w:val="28"/>
              </w:rPr>
              <w:t>議。</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2-9</w:t>
            </w:r>
            <w:r>
              <w:rPr>
                <w:rFonts w:ascii="標楷體" w:eastAsia="標楷體" w:hAnsi="標楷體" w:cs="標楷體"/>
                <w:sz w:val="28"/>
              </w:rPr>
              <w:t>新生高架橋往士林方向主要車流都會左轉劍潭路接承德路，影響中山北路主線車流，可否</w:t>
            </w:r>
            <w:proofErr w:type="gramStart"/>
            <w:r>
              <w:rPr>
                <w:rFonts w:ascii="標楷體" w:eastAsia="標楷體" w:hAnsi="標楷體" w:cs="標楷體"/>
                <w:sz w:val="28"/>
              </w:rPr>
              <w:t>研</w:t>
            </w:r>
            <w:proofErr w:type="gramEnd"/>
            <w:r>
              <w:rPr>
                <w:rFonts w:ascii="標楷體" w:eastAsia="標楷體" w:hAnsi="標楷體" w:cs="標楷體"/>
                <w:sz w:val="28"/>
              </w:rPr>
              <w:t>議新生高架橋另外設</w:t>
            </w:r>
            <w:proofErr w:type="gramStart"/>
            <w:r>
              <w:rPr>
                <w:rFonts w:ascii="標楷體" w:eastAsia="標楷體" w:hAnsi="標楷體" w:cs="標楷體"/>
                <w:sz w:val="28"/>
              </w:rPr>
              <w:t>一個匝</w:t>
            </w:r>
            <w:proofErr w:type="gramEnd"/>
            <w:r>
              <w:rPr>
                <w:rFonts w:ascii="標楷體" w:eastAsia="標楷體" w:hAnsi="標楷體" w:cs="標楷體"/>
                <w:sz w:val="28"/>
              </w:rPr>
              <w:t>道直接銜接承德橋。</w:t>
            </w:r>
          </w:p>
        </w:tc>
        <w:tc>
          <w:tcPr>
            <w:tcW w:w="0" w:type="auto"/>
            <w:vAlign w:val="center"/>
          </w:tcPr>
          <w:p w:rsidR="00EE75EA" w:rsidRDefault="00AA3540">
            <w:r>
              <w:rPr>
                <w:rFonts w:ascii="標楷體" w:eastAsia="標楷體" w:hAnsi="標楷體" w:cs="標楷體"/>
                <w:sz w:val="28"/>
              </w:rPr>
              <w:t>新生高架橋南往北建議設置匝道連接承德橋案，後續需就交通、橋梁及水利工程綜合評估可行性。</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2-10</w:t>
            </w:r>
            <w:r>
              <w:rPr>
                <w:rFonts w:ascii="標楷體" w:eastAsia="標楷體" w:hAnsi="標楷體" w:cs="標楷體"/>
                <w:sz w:val="28"/>
              </w:rPr>
              <w:t>動物園認養計畫，應更加彈性活潑</w:t>
            </w:r>
          </w:p>
        </w:tc>
        <w:tc>
          <w:tcPr>
            <w:tcW w:w="0" w:type="auto"/>
            <w:vAlign w:val="center"/>
          </w:tcPr>
          <w:p w:rsidR="00EE75EA" w:rsidRDefault="00AA3540">
            <w:r>
              <w:rPr>
                <w:rFonts w:ascii="標楷體" w:eastAsia="標楷體" w:hAnsi="標楷體" w:cs="標楷體"/>
                <w:sz w:val="28"/>
              </w:rPr>
              <w:t>動物園已更新動物認養計畫之</w:t>
            </w:r>
            <w:r>
              <w:rPr>
                <w:rFonts w:ascii="標楷體" w:eastAsia="標楷體" w:hAnsi="標楷體" w:cs="標楷體"/>
                <w:sz w:val="28"/>
              </w:rPr>
              <w:t>4</w:t>
            </w:r>
            <w:r>
              <w:rPr>
                <w:rFonts w:ascii="標楷體" w:eastAsia="標楷體" w:hAnsi="標楷體" w:cs="標楷體"/>
                <w:sz w:val="28"/>
              </w:rPr>
              <w:t>款認養卡圖案，並配合客製需求。</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2-11</w:t>
            </w:r>
            <w:proofErr w:type="gramStart"/>
            <w:r>
              <w:rPr>
                <w:rFonts w:ascii="標楷體" w:eastAsia="標楷體" w:hAnsi="標楷體" w:cs="標楷體"/>
                <w:sz w:val="28"/>
              </w:rPr>
              <w:t>東湖社宅興建</w:t>
            </w:r>
            <w:proofErr w:type="gramEnd"/>
            <w:r>
              <w:rPr>
                <w:rFonts w:ascii="標楷體" w:eastAsia="標楷體" w:hAnsi="標楷體" w:cs="標楷體"/>
                <w:sz w:val="28"/>
              </w:rPr>
              <w:t>造成周邊地區環境衝擊，需先完善周邊配套措施後才可以興建。</w:t>
            </w:r>
          </w:p>
        </w:tc>
        <w:tc>
          <w:tcPr>
            <w:tcW w:w="0" w:type="auto"/>
            <w:vAlign w:val="center"/>
          </w:tcPr>
          <w:p w:rsidR="00EE75EA" w:rsidRDefault="00AA3540">
            <w:r>
              <w:rPr>
                <w:rFonts w:ascii="標楷體" w:eastAsia="標楷體" w:hAnsi="標楷體" w:cs="標楷體"/>
                <w:sz w:val="28"/>
              </w:rPr>
              <w:t>本案刻依議會要求辦理說明會及民意調查，就交通影響、停車需求提出改善措施，並協調中央鄰近基地錯開施工。</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2-12</w:t>
            </w:r>
            <w:r>
              <w:rPr>
                <w:rFonts w:ascii="標楷體" w:eastAsia="標楷體" w:hAnsi="標楷體" w:cs="標楷體"/>
                <w:sz w:val="28"/>
              </w:rPr>
              <w:t>104</w:t>
            </w:r>
            <w:r>
              <w:rPr>
                <w:rFonts w:ascii="標楷體" w:eastAsia="標楷體" w:hAnsi="標楷體" w:cs="標楷體"/>
                <w:sz w:val="28"/>
              </w:rPr>
              <w:t>年迄今內科交通變化及改善措施成效</w:t>
            </w:r>
            <w:proofErr w:type="gramStart"/>
            <w:r>
              <w:rPr>
                <w:rFonts w:ascii="標楷體" w:eastAsia="標楷體" w:hAnsi="標楷體" w:cs="標楷體"/>
                <w:sz w:val="28"/>
              </w:rPr>
              <w:t>不</w:t>
            </w:r>
            <w:proofErr w:type="gramEnd"/>
            <w:r>
              <w:rPr>
                <w:rFonts w:ascii="標楷體" w:eastAsia="標楷體" w:hAnsi="標楷體" w:cs="標楷體"/>
                <w:sz w:val="28"/>
              </w:rPr>
              <w:t>彰</w:t>
            </w:r>
          </w:p>
        </w:tc>
        <w:tc>
          <w:tcPr>
            <w:tcW w:w="0" w:type="auto"/>
            <w:vAlign w:val="center"/>
          </w:tcPr>
          <w:p w:rsidR="00EE75EA" w:rsidRDefault="00AA3540">
            <w:r>
              <w:rPr>
                <w:rFonts w:ascii="標楷體" w:eastAsia="標楷體" w:hAnsi="標楷體" w:cs="標楷體"/>
                <w:sz w:val="28"/>
              </w:rPr>
              <w:t>完成短、中期計畫，並持續辦理改善，根本改善方案為興建捷運</w:t>
            </w:r>
            <w:proofErr w:type="gramStart"/>
            <w:r>
              <w:rPr>
                <w:rFonts w:ascii="標楷體" w:eastAsia="標楷體" w:hAnsi="標楷體" w:cs="標楷體"/>
                <w:sz w:val="28"/>
              </w:rPr>
              <w:t>東環段</w:t>
            </w:r>
            <w:proofErr w:type="gramEnd"/>
            <w:r>
              <w:rPr>
                <w:rFonts w:ascii="標楷體" w:eastAsia="標楷體" w:hAnsi="標楷體" w:cs="標楷體"/>
                <w:sz w:val="28"/>
              </w:rPr>
              <w:t>。</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2-13</w:t>
            </w:r>
            <w:r>
              <w:rPr>
                <w:rFonts w:ascii="標楷體" w:eastAsia="標楷體" w:hAnsi="標楷體" w:cs="標楷體"/>
                <w:sz w:val="28"/>
              </w:rPr>
              <w:t>道管中心稽查成效釋疑。</w:t>
            </w:r>
          </w:p>
        </w:tc>
        <w:tc>
          <w:tcPr>
            <w:tcW w:w="0" w:type="auto"/>
            <w:vAlign w:val="center"/>
          </w:tcPr>
          <w:p w:rsidR="00EE75EA" w:rsidRDefault="00AA3540">
            <w:r>
              <w:rPr>
                <w:rFonts w:ascii="標楷體" w:eastAsia="標楷體" w:hAnsi="標楷體" w:cs="標楷體"/>
                <w:sz w:val="28"/>
              </w:rPr>
              <w:t>本府</w:t>
            </w:r>
            <w:proofErr w:type="gramStart"/>
            <w:r>
              <w:rPr>
                <w:rFonts w:ascii="標楷體" w:eastAsia="標楷體" w:hAnsi="標楷體" w:cs="標楷體"/>
                <w:sz w:val="28"/>
              </w:rPr>
              <w:t>工務局道管中心</w:t>
            </w:r>
            <w:proofErr w:type="gramEnd"/>
            <w:r>
              <w:rPr>
                <w:rFonts w:ascii="標楷體" w:eastAsia="標楷體" w:hAnsi="標楷體" w:cs="標楷體"/>
                <w:sz w:val="28"/>
              </w:rPr>
              <w:t>針對道路施工案件均辦理攝影畫面及施工停檢點抽查，並於現場稽查路面復舊品質，查有未依規定施工情事，將依規定裁罰。</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2-14</w:t>
            </w:r>
            <w:r>
              <w:rPr>
                <w:rFonts w:ascii="標楷體" w:eastAsia="標楷體" w:hAnsi="標楷體" w:cs="標楷體"/>
                <w:sz w:val="28"/>
              </w:rPr>
              <w:t>近</w:t>
            </w:r>
            <w:r>
              <w:rPr>
                <w:rFonts w:ascii="標楷體" w:eastAsia="標楷體" w:hAnsi="標楷體" w:cs="標楷體"/>
                <w:sz w:val="28"/>
              </w:rPr>
              <w:t>3</w:t>
            </w:r>
            <w:r>
              <w:rPr>
                <w:rFonts w:ascii="標楷體" w:eastAsia="標楷體" w:hAnsi="標楷體" w:cs="標楷體"/>
                <w:sz w:val="28"/>
              </w:rPr>
              <w:t>年「全市河濱公園</w:t>
            </w:r>
            <w:proofErr w:type="gramStart"/>
            <w:r>
              <w:rPr>
                <w:rFonts w:ascii="標楷體" w:eastAsia="標楷體" w:hAnsi="標楷體" w:cs="標楷體"/>
                <w:sz w:val="28"/>
              </w:rPr>
              <w:t>褐根病</w:t>
            </w:r>
            <w:proofErr w:type="gramEnd"/>
            <w:r>
              <w:rPr>
                <w:rFonts w:ascii="標楷體" w:eastAsia="標楷體" w:hAnsi="標楷體" w:cs="標楷體"/>
                <w:sz w:val="28"/>
              </w:rPr>
              <w:t>防治及其他病蟲害防治工程」的得標廠商</w:t>
            </w:r>
            <w:r>
              <w:rPr>
                <w:rFonts w:ascii="標楷體" w:eastAsia="標楷體" w:hAnsi="標楷體" w:cs="標楷體"/>
                <w:sz w:val="28"/>
              </w:rPr>
              <w:lastRenderedPageBreak/>
              <w:t>執行情形如何？為何以前</w:t>
            </w:r>
            <w:proofErr w:type="gramStart"/>
            <w:r>
              <w:rPr>
                <w:rFonts w:ascii="標楷體" w:eastAsia="標楷體" w:hAnsi="標楷體" w:cs="標楷體"/>
                <w:sz w:val="28"/>
              </w:rPr>
              <w:t>採</w:t>
            </w:r>
            <w:proofErr w:type="gramEnd"/>
            <w:r>
              <w:rPr>
                <w:rFonts w:ascii="標楷體" w:eastAsia="標楷體" w:hAnsi="標楷體" w:cs="標楷體"/>
                <w:sz w:val="28"/>
              </w:rPr>
              <w:t>最低價標及現在的最有利標會有決標金額差異兩倍的情形？招標方式是否會檢討調整？</w:t>
            </w:r>
          </w:p>
        </w:tc>
        <w:tc>
          <w:tcPr>
            <w:tcW w:w="0" w:type="auto"/>
            <w:vAlign w:val="center"/>
          </w:tcPr>
          <w:p w:rsidR="00EE75EA" w:rsidRDefault="00AA3540">
            <w:proofErr w:type="gramStart"/>
            <w:r>
              <w:rPr>
                <w:rFonts w:ascii="標楷體" w:eastAsia="標楷體" w:hAnsi="標楷體" w:cs="標楷體"/>
                <w:sz w:val="28"/>
              </w:rPr>
              <w:lastRenderedPageBreak/>
              <w:t>旨案近</w:t>
            </w:r>
            <w:proofErr w:type="gramEnd"/>
            <w:r>
              <w:rPr>
                <w:rFonts w:ascii="標楷體" w:eastAsia="標楷體" w:hAnsi="標楷體" w:cs="標楷體"/>
                <w:sz w:val="28"/>
              </w:rPr>
              <w:t>3</w:t>
            </w:r>
            <w:r>
              <w:rPr>
                <w:rFonts w:ascii="標楷體" w:eastAsia="標楷體" w:hAnsi="標楷體" w:cs="標楷體"/>
                <w:sz w:val="28"/>
              </w:rPr>
              <w:t>年得標廠商履約情形正常。</w:t>
            </w:r>
            <w:proofErr w:type="gramStart"/>
            <w:r>
              <w:rPr>
                <w:rFonts w:ascii="標楷體" w:eastAsia="標楷體" w:hAnsi="標楷體" w:cs="標楷體"/>
                <w:sz w:val="28"/>
              </w:rPr>
              <w:t>查旨案於</w:t>
            </w:r>
            <w:proofErr w:type="gramEnd"/>
            <w:r>
              <w:rPr>
                <w:rFonts w:ascii="標楷體" w:eastAsia="標楷體" w:hAnsi="標楷體" w:cs="標楷體"/>
                <w:sz w:val="28"/>
              </w:rPr>
              <w:t>109</w:t>
            </w:r>
            <w:r>
              <w:rPr>
                <w:rFonts w:ascii="標楷體" w:eastAsia="標楷體" w:hAnsi="標楷體" w:cs="標楷體"/>
                <w:sz w:val="28"/>
              </w:rPr>
              <w:t>年</w:t>
            </w:r>
            <w:proofErr w:type="gramStart"/>
            <w:r>
              <w:rPr>
                <w:rFonts w:ascii="標楷體" w:eastAsia="標楷體" w:hAnsi="標楷體" w:cs="標楷體"/>
                <w:sz w:val="28"/>
              </w:rPr>
              <w:t>採</w:t>
            </w:r>
            <w:proofErr w:type="gramEnd"/>
            <w:r>
              <w:rPr>
                <w:rFonts w:ascii="標楷體" w:eastAsia="標楷體" w:hAnsi="標楷體" w:cs="標楷體"/>
                <w:sz w:val="28"/>
              </w:rPr>
              <w:t>最有利標之招標原則，</w:t>
            </w:r>
            <w:r>
              <w:rPr>
                <w:rFonts w:ascii="標楷體" w:eastAsia="標楷體" w:hAnsi="標楷體" w:cs="標楷體"/>
                <w:sz w:val="28"/>
              </w:rPr>
              <w:lastRenderedPageBreak/>
              <w:t>決標金額差異係</w:t>
            </w:r>
            <w:proofErr w:type="gramStart"/>
            <w:r>
              <w:rPr>
                <w:rFonts w:ascii="標楷體" w:eastAsia="標楷體" w:hAnsi="標楷體" w:cs="標楷體"/>
                <w:sz w:val="28"/>
              </w:rPr>
              <w:t>因標辦方式</w:t>
            </w:r>
            <w:proofErr w:type="gramEnd"/>
            <w:r>
              <w:rPr>
                <w:rFonts w:ascii="標楷體" w:eastAsia="標楷體" w:hAnsi="標楷體" w:cs="標楷體"/>
                <w:sz w:val="28"/>
              </w:rPr>
              <w:t>不同而有差異。</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lastRenderedPageBreak/>
              <w:t>2-15</w:t>
            </w:r>
            <w:r>
              <w:rPr>
                <w:rFonts w:ascii="標楷體" w:eastAsia="標楷體" w:hAnsi="標楷體" w:cs="標楷體"/>
                <w:sz w:val="28"/>
              </w:rPr>
              <w:t>有關正俗專案，警察局查獲色情行業後，行為人會面臨刑罰，但市府會再用都計法</w:t>
            </w:r>
            <w:proofErr w:type="gramStart"/>
            <w:r>
              <w:rPr>
                <w:rFonts w:ascii="標楷體" w:eastAsia="標楷體" w:hAnsi="標楷體" w:cs="標楷體"/>
                <w:sz w:val="28"/>
              </w:rPr>
              <w:t>去裁罰屋</w:t>
            </w:r>
            <w:proofErr w:type="gramEnd"/>
            <w:r>
              <w:rPr>
                <w:rFonts w:ascii="標楷體" w:eastAsia="標楷體" w:hAnsi="標楷體" w:cs="標楷體"/>
                <w:sz w:val="28"/>
              </w:rPr>
              <w:t>主，是否違反</w:t>
            </w:r>
            <w:proofErr w:type="gramStart"/>
            <w:r>
              <w:rPr>
                <w:rFonts w:ascii="標楷體" w:eastAsia="標楷體" w:hAnsi="標楷體" w:cs="標楷體"/>
                <w:sz w:val="28"/>
              </w:rPr>
              <w:t>一</w:t>
            </w:r>
            <w:proofErr w:type="gramEnd"/>
            <w:r>
              <w:rPr>
                <w:rFonts w:ascii="標楷體" w:eastAsia="標楷體" w:hAnsi="標楷體" w:cs="標楷體"/>
                <w:sz w:val="28"/>
              </w:rPr>
              <w:t>罪</w:t>
            </w:r>
            <w:proofErr w:type="gramStart"/>
            <w:r>
              <w:rPr>
                <w:rFonts w:ascii="標楷體" w:eastAsia="標楷體" w:hAnsi="標楷體" w:cs="標楷體"/>
                <w:sz w:val="28"/>
              </w:rPr>
              <w:t>不</w:t>
            </w:r>
            <w:proofErr w:type="gramEnd"/>
            <w:r>
              <w:rPr>
                <w:rFonts w:ascii="標楷體" w:eastAsia="標楷體" w:hAnsi="標楷體" w:cs="標楷體"/>
                <w:sz w:val="28"/>
              </w:rPr>
              <w:t>二罰</w:t>
            </w:r>
            <w:r>
              <w:rPr>
                <w:rFonts w:ascii="標楷體" w:eastAsia="標楷體" w:hAnsi="標楷體" w:cs="標楷體"/>
                <w:sz w:val="28"/>
              </w:rPr>
              <w:t>?</w:t>
            </w:r>
            <w:r>
              <w:rPr>
                <w:rFonts w:ascii="標楷體" w:eastAsia="標楷體" w:hAnsi="標楷體" w:cs="標楷體"/>
                <w:sz w:val="28"/>
              </w:rPr>
              <w:t>屋主善盡提醒義務，但行為人仍私自違法，實不應歸責於屋主，請問有無策進作法</w:t>
            </w:r>
            <w:r>
              <w:rPr>
                <w:rFonts w:ascii="標楷體" w:eastAsia="標楷體" w:hAnsi="標楷體" w:cs="標楷體"/>
                <w:sz w:val="28"/>
              </w:rPr>
              <w:t>?</w:t>
            </w:r>
          </w:p>
        </w:tc>
        <w:tc>
          <w:tcPr>
            <w:tcW w:w="0" w:type="auto"/>
            <w:vAlign w:val="center"/>
          </w:tcPr>
          <w:p w:rsidR="00EE75EA" w:rsidRDefault="00AA3540">
            <w:r>
              <w:rPr>
                <w:rFonts w:ascii="標楷體" w:eastAsia="標楷體" w:hAnsi="標楷體" w:cs="標楷體"/>
                <w:sz w:val="28"/>
              </w:rPr>
              <w:t>正俗專案對所有權人部分僅依都市計畫法裁處，並無一事二罰之情事。所有權人如不服處分，可依法提出行政救濟程序。</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2-16</w:t>
            </w:r>
            <w:r>
              <w:rPr>
                <w:rFonts w:ascii="標楷體" w:eastAsia="標楷體" w:hAnsi="標楷體" w:cs="標楷體"/>
                <w:sz w:val="28"/>
              </w:rPr>
              <w:t>體育局長李再立怠忽職守，未為本市四連霸金牌項目鐵人三項混合接力報名案，本席為此於</w:t>
            </w:r>
            <w:r>
              <w:rPr>
                <w:rFonts w:ascii="標楷體" w:eastAsia="標楷體" w:hAnsi="標楷體" w:cs="標楷體"/>
                <w:sz w:val="28"/>
              </w:rPr>
              <w:t>10</w:t>
            </w:r>
            <w:r>
              <w:rPr>
                <w:rFonts w:ascii="標楷體" w:eastAsia="標楷體" w:hAnsi="標楷體" w:cs="標楷體"/>
                <w:sz w:val="28"/>
              </w:rPr>
              <w:t>月</w:t>
            </w:r>
            <w:r>
              <w:rPr>
                <w:rFonts w:ascii="標楷體" w:eastAsia="標楷體" w:hAnsi="標楷體" w:cs="標楷體"/>
                <w:sz w:val="28"/>
              </w:rPr>
              <w:t>20</w:t>
            </w:r>
            <w:r>
              <w:rPr>
                <w:rFonts w:ascii="標楷體" w:eastAsia="標楷體" w:hAnsi="標楷體" w:cs="標楷體"/>
                <w:sz w:val="28"/>
              </w:rPr>
              <w:t>日當</w:t>
            </w:r>
            <w:r>
              <w:rPr>
                <w:rFonts w:ascii="標楷體" w:eastAsia="標楷體" w:hAnsi="標楷體" w:cs="標楷體"/>
                <w:sz w:val="28"/>
              </w:rPr>
              <w:t>面質詢柯市長，柯市長承諾於｢一週內｣提出檢討報告、懲處名單及補救計劃。但質詢結束後，體育局自行將柯市長承諾的｢一週內｣改為｢全運會結束後一週內｣。期待市長可以提出令人信服的檢討報告、懲處名單及補救計劃。</w:t>
            </w:r>
          </w:p>
        </w:tc>
        <w:tc>
          <w:tcPr>
            <w:tcW w:w="0" w:type="auto"/>
            <w:vAlign w:val="center"/>
          </w:tcPr>
          <w:p w:rsidR="00EE75EA" w:rsidRDefault="00AA3540">
            <w:proofErr w:type="gramStart"/>
            <w:r>
              <w:rPr>
                <w:rFonts w:ascii="標楷體" w:eastAsia="標楷體" w:hAnsi="標楷體" w:cs="標楷體"/>
                <w:sz w:val="28"/>
              </w:rPr>
              <w:t>體育局業將</w:t>
            </w:r>
            <w:proofErr w:type="gramEnd"/>
            <w:r>
              <w:rPr>
                <w:rFonts w:ascii="標楷體" w:eastAsia="標楷體" w:hAnsi="標楷體" w:cs="標楷體"/>
                <w:sz w:val="28"/>
              </w:rPr>
              <w:t>檢討報告簽報本府，同時該局已自請政風室調查，視調查結果檢討相關責任。</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2-17</w:t>
            </w:r>
            <w:r>
              <w:rPr>
                <w:rFonts w:ascii="標楷體" w:eastAsia="標楷體" w:hAnsi="標楷體" w:cs="標楷體"/>
                <w:sz w:val="28"/>
              </w:rPr>
              <w:t>依全民防衛動員準備法，總統依憲法發布緊急命令實施全國動員或局部動員時，市府各局處是否知道各動員方案之任務為何</w:t>
            </w:r>
            <w:r>
              <w:rPr>
                <w:rFonts w:ascii="標楷體" w:eastAsia="標楷體" w:hAnsi="標楷體" w:cs="標楷體"/>
                <w:sz w:val="28"/>
              </w:rPr>
              <w:t>?</w:t>
            </w:r>
          </w:p>
        </w:tc>
        <w:tc>
          <w:tcPr>
            <w:tcW w:w="0" w:type="auto"/>
            <w:vAlign w:val="center"/>
          </w:tcPr>
          <w:p w:rsidR="00EE75EA" w:rsidRDefault="00AA3540">
            <w:r>
              <w:rPr>
                <w:rFonts w:ascii="標楷體" w:eastAsia="標楷體" w:hAnsi="標楷體" w:cs="標楷體"/>
                <w:sz w:val="28"/>
              </w:rPr>
              <w:t>市府各局處在總統發布緊急命令實施平戰轉換時，皆知悉其任務，並依業管計畫據以執行，落實各項動員整備工作。</w:t>
            </w:r>
          </w:p>
        </w:tc>
      </w:tr>
      <w:tr w:rsidR="00EE75EA">
        <w:tblPrEx>
          <w:tblCellMar>
            <w:top w:w="0" w:type="dxa"/>
            <w:bottom w:w="0" w:type="dxa"/>
          </w:tblCellMar>
        </w:tblPrEx>
        <w:tc>
          <w:tcPr>
            <w:tcW w:w="4819" w:type="dxa"/>
            <w:vAlign w:val="center"/>
          </w:tcPr>
          <w:p w:rsidR="00EE75EA" w:rsidRDefault="00AA3540">
            <w:r>
              <w:rPr>
                <w:rFonts w:ascii="標楷體" w:eastAsia="標楷體" w:hAnsi="標楷體" w:cs="標楷體"/>
                <w:sz w:val="28"/>
              </w:rPr>
              <w:t>2-18</w:t>
            </w:r>
            <w:r>
              <w:rPr>
                <w:rFonts w:ascii="標楷體" w:eastAsia="標楷體" w:hAnsi="標楷體" w:cs="標楷體"/>
                <w:sz w:val="28"/>
              </w:rPr>
              <w:t>市府長期約聘僱的期限是多久？約聘僱計畫、工作內容與實際執行之工作內容不符時應如何改善？</w:t>
            </w:r>
          </w:p>
        </w:tc>
        <w:tc>
          <w:tcPr>
            <w:tcW w:w="0" w:type="auto"/>
            <w:vAlign w:val="center"/>
          </w:tcPr>
          <w:p w:rsidR="00EE75EA" w:rsidRDefault="00AA3540">
            <w:r>
              <w:rPr>
                <w:rFonts w:ascii="標楷體" w:eastAsia="標楷體" w:hAnsi="標楷體" w:cs="標楷體"/>
                <w:sz w:val="28"/>
              </w:rPr>
              <w:t>本府各機關係應業務需要聘僱人員，</w:t>
            </w:r>
            <w:proofErr w:type="gramStart"/>
            <w:r>
              <w:rPr>
                <w:rFonts w:ascii="標楷體" w:eastAsia="標楷體" w:hAnsi="標楷體" w:cs="標楷體"/>
                <w:sz w:val="28"/>
              </w:rPr>
              <w:t>採</w:t>
            </w:r>
            <w:proofErr w:type="gramEnd"/>
            <w:r>
              <w:rPr>
                <w:rFonts w:ascii="標楷體" w:eastAsia="標楷體" w:hAnsi="標楷體" w:cs="標楷體"/>
                <w:sz w:val="28"/>
              </w:rPr>
              <w:t>1</w:t>
            </w:r>
            <w:r>
              <w:rPr>
                <w:rFonts w:ascii="標楷體" w:eastAsia="標楷體" w:hAnsi="標楷體" w:cs="標楷體"/>
                <w:sz w:val="28"/>
              </w:rPr>
              <w:t>年</w:t>
            </w:r>
            <w:r>
              <w:rPr>
                <w:rFonts w:ascii="標楷體" w:eastAsia="標楷體" w:hAnsi="標楷體" w:cs="標楷體"/>
                <w:sz w:val="28"/>
              </w:rPr>
              <w:t>1</w:t>
            </w:r>
            <w:r>
              <w:rPr>
                <w:rFonts w:ascii="標楷體" w:eastAsia="標楷體" w:hAnsi="標楷體" w:cs="標楷體"/>
                <w:sz w:val="28"/>
              </w:rPr>
              <w:t>聘僱方式，各機關如因業務消長調整工作內容，應報府修正聘僱計畫。</w:t>
            </w:r>
          </w:p>
        </w:tc>
      </w:tr>
    </w:tbl>
    <w:p w:rsidR="00AA3540" w:rsidRDefault="00AA3540"/>
    <w:sectPr w:rsidR="00AA3540">
      <w:pgSz w:w="11907" w:h="16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characterSpacingControl w:val="doNotCompress"/>
  <w:compat>
    <w:useFELayout/>
    <w:compatSetting w:name="compatibilityMode" w:uri="http://schemas.microsoft.com/office/word" w:val="12"/>
  </w:compat>
  <w:rsids>
    <w:rsidRoot w:val="00EE75EA"/>
    <w:rsid w:val="00183EAC"/>
    <w:rsid w:val="00AA3540"/>
    <w:rsid w:val="00EE75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F374E8-A4AE-404E-B7CB-4F498D6A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蔡明珠</cp:lastModifiedBy>
  <cp:revision>2</cp:revision>
  <dcterms:created xsi:type="dcterms:W3CDTF">2021-11-04T13:17:00Z</dcterms:created>
  <dcterms:modified xsi:type="dcterms:W3CDTF">2021-11-04T13:50:00Z</dcterms:modified>
</cp:coreProperties>
</file>