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9" w:lineRule="auto"/>
        <w:jc w:val="center"/>
      </w:pPr>
      <w:r>
        <w:rPr>
          <w:rFonts w:ascii="Times New Roman" w:hAnsi="Times New Roman" w:cs="Times New Roman" w:eastAsia="Times New Roman"/>
          <w:b/>
          <w:i w:val="0"/>
          <w:color w:val="000000"/>
          <w:sz w:val="23"/>
        </w:rPr>
        <w:t>CỘNG HÒA XÃ HỘI CHỦ NGHĨA VIỆT NAM</w:t>
      </w:r>
    </w:p>
    <w:p>
      <w:pPr>
        <w:spacing w:before="0" w:after="20" w:line="269" w:lineRule="auto"/>
        <w:jc w:val="center"/>
      </w:pPr>
      <w:r>
        <w:rPr>
          <w:rFonts w:ascii="Times New Roman" w:hAnsi="Times New Roman" w:cs="Times New Roman" w:eastAsia="Times New Roman"/>
          <w:b/>
          <w:i w:val="0"/>
          <w:color w:val="000000"/>
          <w:sz w:val="23"/>
        </w:rPr>
        <w:t>Độc lập – Tự do – Hạnh phúc</w:t>
      </w:r>
    </w:p>
    <w:p>
      <w:pPr>
        <w:spacing w:before="0" w:after="120" w:line="269" w:lineRule="auto"/>
        <w:jc w:val="center"/>
      </w:pPr>
      <w:r>
        <w:rPr>
          <w:rFonts w:ascii="Times New Roman" w:hAnsi="Times New Roman" w:cs="Times New Roman" w:eastAsia="Times New Roman"/>
          <w:b/>
          <w:i w:val="0"/>
          <w:color w:val="787878"/>
          <w:sz w:val="19"/>
        </w:rPr>
        <w:t>---------------***---------------</w:t>
      </w:r>
    </w:p>
    <w:p>
      <w:pPr>
        <w:spacing w:before="20" w:after="60" w:line="269" w:lineRule="auto"/>
        <w:jc w:val="center"/>
      </w:pPr>
      <w:r>
        <w:rPr>
          <w:rFonts w:ascii="Times New Roman" w:hAnsi="Times New Roman" w:cs="Times New Roman" w:eastAsia="Times New Roman"/>
          <w:b/>
          <w:i w:val="0"/>
          <w:color w:val="0F2240"/>
          <w:sz w:val="30"/>
        </w:rPr>
        <w:t>HỢP ĐỒNG MUA BÁN HÀNG HÓA QUỐC TẾ</w:t>
      </w:r>
    </w:p>
    <w:p>
      <w:pPr>
        <w:spacing w:before="0" w:after="20" w:line="269" w:lineRule="auto"/>
        <w:jc w:val="center"/>
      </w:pPr>
      <w:r>
        <w:rPr>
          <w:rFonts w:ascii="Times New Roman" w:hAnsi="Times New Roman" w:cs="Times New Roman" w:eastAsia="Times New Roman"/>
          <w:b/>
          <w:i w:val="0"/>
          <w:color w:val="000000"/>
          <w:sz w:val="22"/>
        </w:rPr>
        <w:t>Số hợp đồng: NZ-VN/2026/ENVY-01</w:t>
      </w:r>
    </w:p>
    <w:p>
      <w:pPr>
        <w:spacing w:before="0" w:after="100" w:line="269" w:lineRule="auto"/>
        <w:jc w:val="center"/>
      </w:pPr>
      <w:r>
        <w:rPr>
          <w:rFonts w:ascii="Times New Roman" w:hAnsi="Times New Roman" w:cs="Times New Roman" w:eastAsia="Times New Roman"/>
          <w:b w:val="0"/>
          <w:i/>
          <w:color w:val="000000"/>
          <w:sz w:val="21"/>
        </w:rPr>
        <w:t>Hà Nội, ngày 10 tháng 04 năm 2026</w:t>
      </w:r>
    </w:p>
    <w:p>
      <w:pPr>
        <w:spacing w:before="10" w:after="20" w:line="269" w:lineRule="auto"/>
        <w:ind w:left="288"/>
        <w:jc w:val="both"/>
      </w:pPr>
      <w:r>
        <w:rPr>
          <w:rFonts w:ascii="Times New Roman" w:hAnsi="Times New Roman" w:cs="Times New Roman" w:eastAsia="Times New Roman"/>
          <w:b w:val="0"/>
          <w:i/>
          <w:color w:val="000000"/>
          <w:sz w:val="22"/>
        </w:rPr>
        <w:t>• Căn cứ Luật Thương mại số 36/2005/QH11 của Quốc hội nước Cộng hòa xã hội chủ nghĩa Việt Nam;</w:t>
      </w:r>
    </w:p>
    <w:p>
      <w:pPr>
        <w:spacing w:before="10" w:after="20" w:line="269" w:lineRule="auto"/>
        <w:ind w:left="288"/>
        <w:jc w:val="both"/>
      </w:pPr>
      <w:r>
        <w:rPr>
          <w:rFonts w:ascii="Times New Roman" w:hAnsi="Times New Roman" w:cs="Times New Roman" w:eastAsia="Times New Roman"/>
          <w:b w:val="0"/>
          <w:i/>
          <w:color w:val="000000"/>
          <w:sz w:val="22"/>
        </w:rPr>
        <w:t>• Căn cứ Công ước Liên Hợp Quốc về Hợp đồng Mua bán Hàng hóa Quốc tế (CISG 1980);</w:t>
      </w:r>
    </w:p>
    <w:p>
      <w:pPr>
        <w:spacing w:before="10" w:after="100" w:line="269" w:lineRule="auto"/>
        <w:ind w:left="288"/>
        <w:jc w:val="both"/>
      </w:pPr>
      <w:r>
        <w:rPr>
          <w:rFonts w:ascii="Times New Roman" w:hAnsi="Times New Roman" w:cs="Times New Roman" w:eastAsia="Times New Roman"/>
          <w:b w:val="0"/>
          <w:i/>
          <w:color w:val="000000"/>
          <w:sz w:val="22"/>
        </w:rPr>
        <w:t>• Căn cứ vào nhu cầu và năng lực thực tế của hai bên.</w:t>
      </w:r>
    </w:p>
    <w:p>
      <w:pPr>
        <w:spacing w:before="20" w:after="80" w:line="269" w:lineRule="auto"/>
        <w:jc w:val="both"/>
      </w:pPr>
      <w:r>
        <w:rPr>
          <w:rFonts w:ascii="Times New Roman" w:hAnsi="Times New Roman" w:cs="Times New Roman" w:eastAsia="Times New Roman"/>
          <w:b w:val="0"/>
          <w:i/>
          <w:color w:val="000000"/>
          <w:sz w:val="22"/>
        </w:rPr>
        <w:t>Hôm nay, ngày 10 tháng 04 năm 2026, tại thành phố Hà Nội, Việt Nam, chúng tôi gồm có:</w:t>
      </w:r>
    </w:p>
    <w:p>
      <w:pPr>
        <w:spacing w:before="60" w:after="30" w:line="269" w:lineRule="auto"/>
        <w:jc w:val="both"/>
      </w:pPr>
      <w:r>
        <w:rPr>
          <w:rFonts w:ascii="Times New Roman" w:hAnsi="Times New Roman" w:cs="Times New Roman" w:eastAsia="Times New Roman"/>
          <w:b/>
          <w:i w:val="0"/>
          <w:color w:val="0F2240"/>
          <w:sz w:val="22"/>
        </w:rPr>
        <w:t>BÊN BÁN (THE SELLER): T&amp;G GLOBAL LIMITED</w:t>
      </w:r>
    </w:p>
    <w:p>
      <w:pPr>
        <w:spacing w:before="10" w:after="30" w:line="269" w:lineRule="auto"/>
        <w:ind w:left="288"/>
        <w:jc w:val="both"/>
      </w:pPr>
      <w:r>
        <w:rPr>
          <w:rFonts w:ascii="Times New Roman" w:hAnsi="Times New Roman" w:cs="Times New Roman" w:eastAsia="Times New Roman"/>
          <w:b/>
          <w:i w:val="0"/>
          <w:color w:val="000000"/>
          <w:sz w:val="22"/>
        </w:rPr>
        <w:t xml:space="preserve">• Địa chỉ: </w:t>
      </w:r>
      <w:r>
        <w:rPr>
          <w:rFonts w:ascii="Times New Roman" w:hAnsi="Times New Roman" w:cs="Times New Roman" w:eastAsia="Times New Roman"/>
          <w:b w:val="0"/>
          <w:i w:val="0"/>
          <w:color w:val="000000"/>
          <w:sz w:val="22"/>
        </w:rPr>
        <w:t>1 Fanshawe Street, Auckland Central, Auckland 1010, New Zealand</w:t>
      </w:r>
    </w:p>
    <w:p>
      <w:pPr>
        <w:spacing w:before="10" w:after="30" w:line="269" w:lineRule="auto"/>
        <w:ind w:left="288"/>
        <w:jc w:val="both"/>
      </w:pPr>
      <w:r>
        <w:rPr>
          <w:rFonts w:ascii="Times New Roman" w:hAnsi="Times New Roman" w:cs="Times New Roman" w:eastAsia="Times New Roman"/>
          <w:b/>
          <w:i w:val="0"/>
          <w:color w:val="000000"/>
          <w:sz w:val="22"/>
        </w:rPr>
        <w:t xml:space="preserve">• Điện thoại: </w:t>
      </w:r>
      <w:r>
        <w:rPr>
          <w:rFonts w:ascii="Times New Roman" w:hAnsi="Times New Roman" w:cs="Times New Roman" w:eastAsia="Times New Roman"/>
          <w:b w:val="0"/>
          <w:i w:val="0"/>
          <w:color w:val="000000"/>
          <w:sz w:val="22"/>
        </w:rPr>
        <w:t>+64 9 573 8700    |    Email: contact@tandg.global    |    Mã số thuế: NZ-9429000000000</w:t>
      </w:r>
    </w:p>
    <w:p>
      <w:pPr>
        <w:spacing w:before="10" w:after="30" w:line="269" w:lineRule="auto"/>
        <w:ind w:left="288"/>
        <w:jc w:val="both"/>
      </w:pPr>
      <w:r>
        <w:rPr>
          <w:rFonts w:ascii="Times New Roman" w:hAnsi="Times New Roman" w:cs="Times New Roman" w:eastAsia="Times New Roman"/>
          <w:b/>
          <w:i w:val="0"/>
          <w:color w:val="000000"/>
          <w:sz w:val="22"/>
        </w:rPr>
        <w:t xml:space="preserve">• Đại diện bởi: </w:t>
      </w:r>
      <w:r>
        <w:rPr>
          <w:rFonts w:ascii="Times New Roman" w:hAnsi="Times New Roman" w:cs="Times New Roman" w:eastAsia="Times New Roman"/>
          <w:b w:val="0"/>
          <w:i w:val="0"/>
          <w:color w:val="000000"/>
          <w:sz w:val="22"/>
        </w:rPr>
        <w:t>Ông Gareth Edgecombe    |    Chức vụ: Tổng Giám đốc Điều hành (CEO)</w:t>
      </w:r>
    </w:p>
    <w:p>
      <w:pPr>
        <w:spacing w:before="10" w:after="100" w:line="269" w:lineRule="auto"/>
        <w:ind w:left="288"/>
        <w:jc w:val="both"/>
      </w:pPr>
      <w:r>
        <w:rPr>
          <w:rFonts w:ascii="Times New Roman" w:hAnsi="Times New Roman" w:cs="Times New Roman" w:eastAsia="Times New Roman"/>
          <w:b w:val="0"/>
          <w:i/>
          <w:color w:val="000000"/>
          <w:sz w:val="20"/>
        </w:rPr>
        <w:t>(Dưới đây trong hợp đồng này gọi tắt là "Bên Bán")</w:t>
      </w:r>
    </w:p>
    <w:p>
      <w:pPr>
        <w:spacing w:before="60" w:after="30" w:line="269" w:lineRule="auto"/>
        <w:jc w:val="both"/>
      </w:pPr>
      <w:r>
        <w:rPr>
          <w:rFonts w:ascii="Times New Roman" w:hAnsi="Times New Roman" w:cs="Times New Roman" w:eastAsia="Times New Roman"/>
          <w:b/>
          <w:i w:val="0"/>
          <w:color w:val="0F2240"/>
          <w:sz w:val="22"/>
        </w:rPr>
        <w:t>BÊN MUA (THE BUYER): CÔNG TY TNHH XUẤT NHẬP KHẨU NÔNG SẢN NHÓM 8</w:t>
      </w:r>
    </w:p>
    <w:p>
      <w:pPr>
        <w:spacing w:before="10" w:after="30" w:line="269" w:lineRule="auto"/>
        <w:ind w:left="288"/>
        <w:jc w:val="both"/>
      </w:pPr>
      <w:r>
        <w:rPr>
          <w:rFonts w:ascii="Times New Roman" w:hAnsi="Times New Roman" w:cs="Times New Roman" w:eastAsia="Times New Roman"/>
          <w:b/>
          <w:i w:val="0"/>
          <w:color w:val="000000"/>
          <w:sz w:val="22"/>
        </w:rPr>
        <w:t xml:space="preserve">• Địa chỉ: </w:t>
      </w:r>
      <w:r>
        <w:rPr>
          <w:rFonts w:ascii="Times New Roman" w:hAnsi="Times New Roman" w:cs="Times New Roman" w:eastAsia="Times New Roman"/>
          <w:b w:val="0"/>
          <w:i w:val="0"/>
          <w:color w:val="000000"/>
          <w:sz w:val="22"/>
        </w:rPr>
        <w:t>Số 54 phố Triều Khúc, phường Thanh Xuân Nam, quận Thanh Xuân, TP. Hà Nội, Việt Nam</w:t>
      </w:r>
    </w:p>
    <w:p>
      <w:pPr>
        <w:spacing w:before="10" w:after="30" w:line="269" w:lineRule="auto"/>
        <w:ind w:left="288"/>
        <w:jc w:val="both"/>
      </w:pPr>
      <w:r>
        <w:rPr>
          <w:rFonts w:ascii="Times New Roman" w:hAnsi="Times New Roman" w:cs="Times New Roman" w:eastAsia="Times New Roman"/>
          <w:b/>
          <w:i w:val="0"/>
          <w:color w:val="000000"/>
          <w:sz w:val="22"/>
        </w:rPr>
        <w:t xml:space="preserve">• Điện thoại: </w:t>
      </w:r>
      <w:r>
        <w:rPr>
          <w:rFonts w:ascii="Times New Roman" w:hAnsi="Times New Roman" w:cs="Times New Roman" w:eastAsia="Times New Roman"/>
          <w:b w:val="0"/>
          <w:i w:val="0"/>
          <w:color w:val="000000"/>
          <w:sz w:val="22"/>
        </w:rPr>
        <w:t>+84 24 3858 0000    |    Email: import@nhom8agri.vn    |    Mã số thuế: 0108888888</w:t>
      </w:r>
    </w:p>
    <w:p>
      <w:pPr>
        <w:spacing w:before="10" w:after="30" w:line="269" w:lineRule="auto"/>
        <w:ind w:left="288"/>
        <w:jc w:val="both"/>
      </w:pPr>
      <w:r>
        <w:rPr>
          <w:rFonts w:ascii="Times New Roman" w:hAnsi="Times New Roman" w:cs="Times New Roman" w:eastAsia="Times New Roman"/>
          <w:b/>
          <w:i w:val="0"/>
          <w:color w:val="000000"/>
          <w:sz w:val="22"/>
        </w:rPr>
        <w:t xml:space="preserve">• Đại diện bởi: </w:t>
      </w:r>
      <w:r>
        <w:rPr>
          <w:rFonts w:ascii="Times New Roman" w:hAnsi="Times New Roman" w:cs="Times New Roman" w:eastAsia="Times New Roman"/>
          <w:b w:val="0"/>
          <w:i w:val="0"/>
          <w:color w:val="000000"/>
          <w:sz w:val="22"/>
        </w:rPr>
        <w:t>Ông Nguyễn Ngọc Phú    |    Chức vụ: Tổng Giám đốc</w:t>
      </w:r>
    </w:p>
    <w:p>
      <w:pPr>
        <w:spacing w:before="10" w:after="100" w:line="269" w:lineRule="auto"/>
        <w:ind w:left="288"/>
        <w:jc w:val="both"/>
      </w:pPr>
      <w:r>
        <w:rPr>
          <w:rFonts w:ascii="Times New Roman" w:hAnsi="Times New Roman" w:cs="Times New Roman" w:eastAsia="Times New Roman"/>
          <w:b w:val="0"/>
          <w:i/>
          <w:color w:val="000000"/>
          <w:sz w:val="20"/>
        </w:rPr>
        <w:t>(Dưới đây trong hợp đồng này gọi tắt là "Bên Mua")</w:t>
      </w:r>
    </w:p>
    <w:p>
      <w:pPr>
        <w:spacing w:before="30" w:after="100" w:line="269" w:lineRule="auto"/>
        <w:jc w:val="both"/>
      </w:pPr>
      <w:r>
        <w:rPr>
          <w:rFonts w:ascii="Times New Roman" w:hAnsi="Times New Roman" w:cs="Times New Roman" w:eastAsia="Times New Roman"/>
          <w:b w:val="0"/>
          <w:i/>
          <w:color w:val="000000"/>
          <w:sz w:val="22"/>
        </w:rPr>
        <w:t>Bên Bán đồng ý bán và Bên Mua đồng ý mua hàng hóa theo các điều khoản và điều kiện cụ thể sau đây:</w:t>
      </w:r>
    </w:p>
    <w:p>
      <w:pPr>
        <w:keepNext/>
        <w:spacing w:before="120" w:after="40" w:line="269" w:lineRule="auto"/>
        <w:jc w:val="left"/>
      </w:pPr>
      <w:r>
        <w:rPr>
          <w:rFonts w:ascii="Times New Roman" w:hAnsi="Times New Roman" w:cs="Times New Roman" w:eastAsia="Times New Roman"/>
          <w:b/>
          <w:i w:val="0"/>
          <w:color w:val="0F2240"/>
          <w:sz w:val="23"/>
        </w:rPr>
        <w:t>ĐIỀU 1: TÊN HÀNG VÀ QUY CÁCH PHẨM CHẤT</w:t>
      </w:r>
    </w:p>
    <w:p>
      <w:pPr>
        <w:spacing w:before="10" w:after="30" w:line="269" w:lineRule="auto"/>
        <w:ind w:left="360"/>
        <w:jc w:val="both"/>
      </w:pPr>
      <w:r>
        <w:rPr>
          <w:rFonts w:ascii="Times New Roman" w:hAnsi="Times New Roman" w:cs="Times New Roman" w:eastAsia="Times New Roman"/>
          <w:b/>
          <w:i w:val="0"/>
          <w:color w:val="000000"/>
          <w:sz w:val="22"/>
        </w:rPr>
        <w:t xml:space="preserve">1.1. Tên hàng: </w:t>
      </w:r>
      <w:r>
        <w:rPr>
          <w:rFonts w:ascii="Times New Roman" w:hAnsi="Times New Roman" w:cs="Times New Roman" w:eastAsia="Times New Roman"/>
          <w:b w:val="0"/>
          <w:i w:val="0"/>
          <w:color w:val="000000"/>
          <w:sz w:val="22"/>
        </w:rPr>
        <w:t>Táo tươi Envy New Zealand (Malus domestica), Hạng 1 (Grade 1), Vụ thu hoạch năm 2026.</w:t>
      </w:r>
    </w:p>
    <w:p>
      <w:pPr>
        <w:spacing w:before="10" w:after="30" w:line="269" w:lineRule="auto"/>
        <w:ind w:left="360"/>
        <w:jc w:val="both"/>
      </w:pPr>
      <w:r>
        <w:rPr>
          <w:rFonts w:ascii="Times New Roman" w:hAnsi="Times New Roman" w:cs="Times New Roman" w:eastAsia="Times New Roman"/>
          <w:b/>
          <w:i w:val="0"/>
          <w:color w:val="000000"/>
          <w:sz w:val="22"/>
        </w:rPr>
        <w:t xml:space="preserve">1.2. Phân loại kích cỡ thương mại (Commercial Size Breakdown): </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Kích cỡ 70: </w:t>
      </w:r>
      <w:r>
        <w:rPr>
          <w:rFonts w:ascii="Times New Roman" w:hAnsi="Times New Roman" w:cs="Times New Roman" w:eastAsia="Times New Roman"/>
          <w:b w:val="0"/>
          <w:i w:val="0"/>
          <w:color w:val="000000"/>
          <w:sz w:val="22"/>
        </w:rPr>
        <w:t>Chiếm 40% tổng lô hàng (khoảng 70 quả/thùng).</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Kích cỡ 80: </w:t>
      </w:r>
      <w:r>
        <w:rPr>
          <w:rFonts w:ascii="Times New Roman" w:hAnsi="Times New Roman" w:cs="Times New Roman" w:eastAsia="Times New Roman"/>
          <w:b w:val="0"/>
          <w:i w:val="0"/>
          <w:color w:val="000000"/>
          <w:sz w:val="22"/>
        </w:rPr>
        <w:t>Chiếm 40% tổng lô hàng (khoảng 80 quả/thùng).</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Kích cỡ 90: </w:t>
      </w:r>
      <w:r>
        <w:rPr>
          <w:rFonts w:ascii="Times New Roman" w:hAnsi="Times New Roman" w:cs="Times New Roman" w:eastAsia="Times New Roman"/>
          <w:b w:val="0"/>
          <w:i w:val="0"/>
          <w:color w:val="000000"/>
          <w:sz w:val="22"/>
        </w:rPr>
        <w:t>Chiếm 20% tổng lô hàng (khoảng 90 quả/thùng).</w:t>
      </w:r>
    </w:p>
    <w:p>
      <w:pPr>
        <w:spacing w:before="10" w:after="30" w:line="269" w:lineRule="auto"/>
        <w:ind w:left="360"/>
        <w:jc w:val="both"/>
      </w:pPr>
      <w:r>
        <w:rPr>
          <w:rFonts w:ascii="Times New Roman" w:hAnsi="Times New Roman" w:cs="Times New Roman" w:eastAsia="Times New Roman"/>
          <w:b/>
          <w:i w:val="0"/>
          <w:color w:val="000000"/>
          <w:sz w:val="22"/>
        </w:rPr>
        <w:t xml:space="preserve">1.3. Tiêu chuẩn phẩm chất kỹ thuật: </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Độ ngọt (Brix): </w:t>
      </w:r>
      <w:r>
        <w:rPr>
          <w:rFonts w:ascii="Times New Roman" w:hAnsi="Times New Roman" w:cs="Times New Roman" w:eastAsia="Times New Roman"/>
          <w:b w:val="0"/>
          <w:i w:val="0"/>
          <w:color w:val="000000"/>
          <w:sz w:val="22"/>
        </w:rPr>
        <w:t>Brix ≥ 14,0° (đo bằng khúc xạ kế quang học).</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Độ cứng thịt quả: </w:t>
      </w:r>
      <w:r>
        <w:rPr>
          <w:rFonts w:ascii="Times New Roman" w:hAnsi="Times New Roman" w:cs="Times New Roman" w:eastAsia="Times New Roman"/>
          <w:b w:val="0"/>
          <w:i w:val="0"/>
          <w:color w:val="000000"/>
          <w:sz w:val="22"/>
        </w:rPr>
        <w:t>Áp lực ≥ 17,0 lbs (đo bằng máy đo độ cứng penetrometer).</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Khuyết tật &amp; Ngoại quan: </w:t>
      </w:r>
      <w:r>
        <w:rPr>
          <w:rFonts w:ascii="Times New Roman" w:hAnsi="Times New Roman" w:cs="Times New Roman" w:eastAsia="Times New Roman"/>
          <w:b w:val="0"/>
          <w:i w:val="0"/>
          <w:color w:val="000000"/>
          <w:sz w:val="22"/>
        </w:rPr>
        <w:t>Tối đa 2,0% khuyết tật vỏ hoặc vết thâm. Thịt quả giòn, mọng nước, màu trắng ngà đặc trưng, không bị úng nước (watercore), không nhiễm sâu bệnh và không bị thâm nâu bên trong.</w:t>
      </w:r>
    </w:p>
    <w:p>
      <w:r>
        <w:br w:type="page"/>
      </w:r>
    </w:p>
    <w:p>
      <w:pPr>
        <w:keepNext/>
        <w:spacing w:before="120" w:after="40" w:line="269" w:lineRule="auto"/>
        <w:jc w:val="left"/>
      </w:pPr>
      <w:r>
        <w:rPr>
          <w:rFonts w:ascii="Times New Roman" w:hAnsi="Times New Roman" w:cs="Times New Roman" w:eastAsia="Times New Roman"/>
          <w:b/>
          <w:i w:val="0"/>
          <w:color w:val="0F2240"/>
          <w:sz w:val="23"/>
        </w:rPr>
        <w:t>ĐIỀU 2: SỐ LƯỢNG VÀ TRỌNG LƯỢNG</w:t>
      </w:r>
    </w:p>
    <w:p>
      <w:pPr>
        <w:spacing w:before="10" w:after="30" w:line="269" w:lineRule="auto"/>
        <w:ind w:left="360"/>
        <w:jc w:val="both"/>
      </w:pPr>
      <w:r>
        <w:rPr>
          <w:rFonts w:ascii="Times New Roman" w:hAnsi="Times New Roman" w:cs="Times New Roman" w:eastAsia="Times New Roman"/>
          <w:b/>
          <w:i w:val="0"/>
          <w:color w:val="000000"/>
          <w:sz w:val="22"/>
        </w:rPr>
        <w:t xml:space="preserve">2.1. Tổng số lượng: </w:t>
      </w:r>
      <w:r>
        <w:rPr>
          <w:rFonts w:ascii="Times New Roman" w:hAnsi="Times New Roman" w:cs="Times New Roman" w:eastAsia="Times New Roman"/>
          <w:b w:val="0"/>
          <w:i w:val="0"/>
          <w:color w:val="000000"/>
          <w:sz w:val="22"/>
        </w:rPr>
        <w:t>3.456 thùng carton thông gió chuyên dụng (trọng lượng tịnh 18,00 kg/thùng), đóng trong ba (03) container lạnh 40 feet cao (40RF), mỗi container chứa 1.152 thùng trên 24 pallet (tổng cộng 72 pallet).</w:t>
      </w:r>
    </w:p>
    <w:p>
      <w:pPr>
        <w:spacing w:before="10" w:after="30" w:line="269" w:lineRule="auto"/>
        <w:ind w:left="360"/>
        <w:jc w:val="both"/>
      </w:pPr>
      <w:r>
        <w:rPr>
          <w:rFonts w:ascii="Times New Roman" w:hAnsi="Times New Roman" w:cs="Times New Roman" w:eastAsia="Times New Roman"/>
          <w:b/>
          <w:i w:val="0"/>
          <w:color w:val="000000"/>
          <w:sz w:val="22"/>
        </w:rPr>
        <w:t xml:space="preserve">2.2. Tổng khối lượng: </w:t>
      </w:r>
      <w:r>
        <w:rPr>
          <w:rFonts w:ascii="Times New Roman" w:hAnsi="Times New Roman" w:cs="Times New Roman" w:eastAsia="Times New Roman"/>
          <w:b w:val="0"/>
          <w:i w:val="0"/>
          <w:color w:val="000000"/>
          <w:sz w:val="22"/>
        </w:rPr>
        <w:t>Tổng trọng lượng tịnh: 62.208,00 kg (Tổng trọng lượng cả bì: khoảng 66.355,00 kg).</w:t>
      </w:r>
    </w:p>
    <w:p>
      <w:pPr>
        <w:spacing w:before="10" w:after="30" w:line="269" w:lineRule="auto"/>
        <w:ind w:left="360"/>
        <w:jc w:val="both"/>
      </w:pPr>
      <w:r>
        <w:rPr>
          <w:rFonts w:ascii="Times New Roman" w:hAnsi="Times New Roman" w:cs="Times New Roman" w:eastAsia="Times New Roman"/>
          <w:b/>
          <w:i w:val="0"/>
          <w:color w:val="000000"/>
          <w:sz w:val="22"/>
        </w:rPr>
        <w:t xml:space="preserve">2.3. Dung sai số lượng: </w:t>
      </w:r>
      <w:r>
        <w:rPr>
          <w:rFonts w:ascii="Times New Roman" w:hAnsi="Times New Roman" w:cs="Times New Roman" w:eastAsia="Times New Roman"/>
          <w:b w:val="0"/>
          <w:i w:val="0"/>
          <w:color w:val="000000"/>
          <w:sz w:val="22"/>
        </w:rPr>
        <w:t>± 5% về số lượng và tổng giá trị theo quyền lựa chọn của Bên Bán. Thanh toán căn cứ theo khối lượng thực tế ghi trên Vận đơn đường biển (B/L).</w:t>
      </w:r>
    </w:p>
    <w:p>
      <w:pPr>
        <w:keepNext/>
        <w:spacing w:before="120" w:after="40" w:line="269" w:lineRule="auto"/>
        <w:jc w:val="left"/>
      </w:pPr>
      <w:r>
        <w:rPr>
          <w:rFonts w:ascii="Times New Roman" w:hAnsi="Times New Roman" w:cs="Times New Roman" w:eastAsia="Times New Roman"/>
          <w:b/>
          <w:i w:val="0"/>
          <w:color w:val="0F2240"/>
          <w:sz w:val="23"/>
        </w:rPr>
        <w:t>ĐIỀU 3: GIÁ CẢ VÀ TỔNG GIÁ TRỊ HỢP ĐỒNG</w:t>
      </w:r>
    </w:p>
    <w:p>
      <w:pPr>
        <w:spacing w:before="10" w:after="30" w:line="269" w:lineRule="auto"/>
        <w:ind w:left="360"/>
        <w:jc w:val="both"/>
      </w:pPr>
      <w:r>
        <w:rPr>
          <w:rFonts w:ascii="Times New Roman" w:hAnsi="Times New Roman" w:cs="Times New Roman" w:eastAsia="Times New Roman"/>
          <w:b/>
          <w:i w:val="0"/>
          <w:color w:val="000000"/>
          <w:sz w:val="22"/>
        </w:rPr>
        <w:t xml:space="preserve">3.1. Bảng cơ cấu đơn giá và thành tiền: </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921"/>
        <w:gridCol w:w="1921"/>
        <w:gridCol w:w="1921"/>
        <w:gridCol w:w="1921"/>
        <w:gridCol w:w="1921"/>
      </w:tblGrid>
      <w:tr>
        <w:tc>
          <w:tcPr>
            <w:tcW w:type="dxa" w:w="864"/>
            <w:shd w:fill="F2F4F7"/>
            <w:tcMar>
              <w:top w:w="100" w:type="dxa"/>
              <w:bottom w:w="100" w:type="dxa"/>
              <w:left w:w="80" w:type="dxa"/>
              <w:right w:w="80" w:type="dxa"/>
            </w:tcMar>
          </w:tcPr>
          <w:p>
            <w:pPr>
              <w:jc w:val="center"/>
            </w:pPr>
            <w:r>
              <w:rPr>
                <w:rFonts w:ascii="Times New Roman" w:hAnsi="Times New Roman" w:cs="Times New Roman" w:eastAsia="Times New Roman"/>
                <w:b/>
                <w:i w:val="0"/>
                <w:color w:val="0F2240"/>
                <w:sz w:val="19"/>
              </w:rPr>
              <w:t>STT</w:t>
            </w:r>
          </w:p>
        </w:tc>
        <w:tc>
          <w:tcPr>
            <w:tcW w:type="dxa" w:w="4032"/>
            <w:shd w:fill="F2F4F7"/>
            <w:tcMar>
              <w:top w:w="100" w:type="dxa"/>
              <w:bottom w:w="100" w:type="dxa"/>
              <w:left w:w="80" w:type="dxa"/>
              <w:right w:w="80" w:type="dxa"/>
            </w:tcMar>
          </w:tcPr>
          <w:p>
            <w:pPr>
              <w:jc w:val="center"/>
            </w:pPr>
            <w:r>
              <w:rPr>
                <w:rFonts w:ascii="Times New Roman" w:hAnsi="Times New Roman" w:cs="Times New Roman" w:eastAsia="Times New Roman"/>
                <w:b/>
                <w:i w:val="0"/>
                <w:color w:val="0F2240"/>
                <w:sz w:val="19"/>
              </w:rPr>
              <w:t>Tên hàng hóa &amp; Kích cỡ</w:t>
            </w:r>
          </w:p>
        </w:tc>
        <w:tc>
          <w:tcPr>
            <w:tcW w:type="dxa" w:w="1440"/>
            <w:shd w:fill="F2F4F7"/>
            <w:tcMar>
              <w:top w:w="100" w:type="dxa"/>
              <w:bottom w:w="100" w:type="dxa"/>
              <w:left w:w="80" w:type="dxa"/>
              <w:right w:w="80" w:type="dxa"/>
            </w:tcMar>
          </w:tcPr>
          <w:p>
            <w:pPr>
              <w:jc w:val="center"/>
            </w:pPr>
            <w:r>
              <w:rPr>
                <w:rFonts w:ascii="Times New Roman" w:hAnsi="Times New Roman" w:cs="Times New Roman" w:eastAsia="Times New Roman"/>
                <w:b/>
                <w:i w:val="0"/>
                <w:color w:val="0F2240"/>
                <w:sz w:val="19"/>
              </w:rPr>
              <w:t>Số lượng</w:t>
              <w:br/>
              <w:t>(Thùng)</w:t>
            </w:r>
          </w:p>
        </w:tc>
        <w:tc>
          <w:tcPr>
            <w:tcW w:type="dxa" w:w="1872"/>
            <w:shd w:fill="F2F4F7"/>
            <w:tcMar>
              <w:top w:w="100" w:type="dxa"/>
              <w:bottom w:w="100" w:type="dxa"/>
              <w:left w:w="80" w:type="dxa"/>
              <w:right w:w="80" w:type="dxa"/>
            </w:tcMar>
          </w:tcPr>
          <w:p>
            <w:pPr>
              <w:jc w:val="center"/>
            </w:pPr>
            <w:r>
              <w:rPr>
                <w:rFonts w:ascii="Times New Roman" w:hAnsi="Times New Roman" w:cs="Times New Roman" w:eastAsia="Times New Roman"/>
                <w:b/>
                <w:i w:val="0"/>
                <w:color w:val="0F2240"/>
                <w:sz w:val="19"/>
              </w:rPr>
              <w:t>Đơn giá (USD)</w:t>
              <w:br/>
              <w:t>FOB Cảng Napier</w:t>
            </w:r>
          </w:p>
        </w:tc>
        <w:tc>
          <w:tcPr>
            <w:tcW w:type="dxa" w:w="1728"/>
            <w:shd w:fill="F2F4F7"/>
            <w:tcMar>
              <w:top w:w="100" w:type="dxa"/>
              <w:bottom w:w="100" w:type="dxa"/>
              <w:left w:w="80" w:type="dxa"/>
              <w:right w:w="80" w:type="dxa"/>
            </w:tcMar>
          </w:tcPr>
          <w:p>
            <w:pPr>
              <w:jc w:val="center"/>
            </w:pPr>
            <w:r>
              <w:rPr>
                <w:rFonts w:ascii="Times New Roman" w:hAnsi="Times New Roman" w:cs="Times New Roman" w:eastAsia="Times New Roman"/>
                <w:b/>
                <w:i w:val="0"/>
                <w:color w:val="0F2240"/>
                <w:sz w:val="19"/>
              </w:rPr>
              <w:t>Thành tiền</w:t>
              <w:br/>
              <w:t>(USD)</w:t>
            </w:r>
          </w:p>
        </w:tc>
      </w:tr>
      <w:tr>
        <w:tc>
          <w:tcPr>
            <w:tcW w:type="dxa" w:w="864"/>
            <w:tcMar>
              <w:top w:w="80" w:type="dxa"/>
              <w:bottom w:w="80" w:type="dxa"/>
              <w:left w:w="80" w:type="dxa"/>
              <w:right w:w="80" w:type="dxa"/>
            </w:tcMar>
          </w:tcPr>
          <w:p>
            <w:pPr>
              <w:jc w:val="center"/>
            </w:pPr>
            <w:r>
              <w:rPr>
                <w:rFonts w:ascii="Times New Roman" w:hAnsi="Times New Roman" w:cs="Times New Roman" w:eastAsia="Times New Roman"/>
                <w:b w:val="0"/>
                <w:i w:val="0"/>
                <w:color w:val="000000"/>
                <w:sz w:val="18"/>
              </w:rPr>
              <w:t>1</w:t>
            </w:r>
          </w:p>
        </w:tc>
        <w:tc>
          <w:tcPr>
            <w:tcW w:type="dxa" w:w="4032"/>
            <w:tcMar>
              <w:top w:w="80" w:type="dxa"/>
              <w:bottom w:w="80" w:type="dxa"/>
              <w:left w:w="80" w:type="dxa"/>
              <w:right w:w="80" w:type="dxa"/>
            </w:tcMar>
          </w:tcPr>
          <w:p>
            <w:pPr>
              <w:jc w:val="left"/>
            </w:pPr>
            <w:r>
              <w:rPr>
                <w:rFonts w:ascii="Times New Roman" w:hAnsi="Times New Roman" w:cs="Times New Roman" w:eastAsia="Times New Roman"/>
                <w:b w:val="0"/>
                <w:i w:val="0"/>
                <w:color w:val="000000"/>
                <w:sz w:val="18"/>
              </w:rPr>
              <w:t>Táo tươi Envy, Hạng 1 (Kích cỡ 70 - 40%)</w:t>
            </w:r>
          </w:p>
        </w:tc>
        <w:tc>
          <w:tcPr>
            <w:tcW w:type="dxa" w:w="1440"/>
            <w:tcMar>
              <w:top w:w="80" w:type="dxa"/>
              <w:bottom w:w="80" w:type="dxa"/>
              <w:left w:w="80" w:type="dxa"/>
              <w:right w:w="80" w:type="dxa"/>
            </w:tcMar>
          </w:tcPr>
          <w:p>
            <w:pPr>
              <w:jc w:val="right"/>
            </w:pPr>
            <w:r>
              <w:rPr>
                <w:rFonts w:ascii="Times New Roman" w:hAnsi="Times New Roman" w:cs="Times New Roman" w:eastAsia="Times New Roman"/>
                <w:b w:val="0"/>
                <w:i w:val="0"/>
                <w:color w:val="000000"/>
                <w:sz w:val="18"/>
              </w:rPr>
              <w:t>1.382</w:t>
            </w:r>
          </w:p>
        </w:tc>
        <w:tc>
          <w:tcPr>
            <w:tcW w:type="dxa" w:w="1872"/>
            <w:tcMar>
              <w:top w:w="80" w:type="dxa"/>
              <w:bottom w:w="80" w:type="dxa"/>
              <w:left w:w="80" w:type="dxa"/>
              <w:right w:w="80" w:type="dxa"/>
            </w:tcMar>
          </w:tcPr>
          <w:p>
            <w:pPr>
              <w:jc w:val="right"/>
            </w:pPr>
            <w:r>
              <w:rPr>
                <w:rFonts w:ascii="Times New Roman" w:hAnsi="Times New Roman" w:cs="Times New Roman" w:eastAsia="Times New Roman"/>
                <w:b w:val="0"/>
                <w:i w:val="0"/>
                <w:color w:val="000000"/>
                <w:sz w:val="18"/>
              </w:rPr>
              <w:t>48,00</w:t>
            </w:r>
          </w:p>
        </w:tc>
        <w:tc>
          <w:tcPr>
            <w:tcW w:type="dxa" w:w="1728"/>
            <w:tcMar>
              <w:top w:w="80" w:type="dxa"/>
              <w:bottom w:w="80" w:type="dxa"/>
              <w:left w:w="80" w:type="dxa"/>
              <w:right w:w="80" w:type="dxa"/>
            </w:tcMar>
          </w:tcPr>
          <w:p>
            <w:pPr>
              <w:jc w:val="right"/>
            </w:pPr>
            <w:r>
              <w:rPr>
                <w:rFonts w:ascii="Times New Roman" w:hAnsi="Times New Roman" w:cs="Times New Roman" w:eastAsia="Times New Roman"/>
                <w:b w:val="0"/>
                <w:i w:val="0"/>
                <w:color w:val="000000"/>
                <w:sz w:val="18"/>
              </w:rPr>
              <w:t>66.336,00</w:t>
            </w:r>
          </w:p>
        </w:tc>
      </w:tr>
      <w:tr>
        <w:tc>
          <w:tcPr>
            <w:tcW w:type="dxa" w:w="864"/>
            <w:tcMar>
              <w:top w:w="80" w:type="dxa"/>
              <w:bottom w:w="80" w:type="dxa"/>
              <w:left w:w="80" w:type="dxa"/>
              <w:right w:w="80" w:type="dxa"/>
            </w:tcMar>
          </w:tcPr>
          <w:p>
            <w:pPr>
              <w:jc w:val="center"/>
            </w:pPr>
            <w:r>
              <w:rPr>
                <w:rFonts w:ascii="Times New Roman" w:hAnsi="Times New Roman" w:cs="Times New Roman" w:eastAsia="Times New Roman"/>
                <w:b w:val="0"/>
                <w:i w:val="0"/>
                <w:color w:val="000000"/>
                <w:sz w:val="18"/>
              </w:rPr>
              <w:t>2</w:t>
            </w:r>
          </w:p>
        </w:tc>
        <w:tc>
          <w:tcPr>
            <w:tcW w:type="dxa" w:w="4032"/>
            <w:tcMar>
              <w:top w:w="80" w:type="dxa"/>
              <w:bottom w:w="80" w:type="dxa"/>
              <w:left w:w="80" w:type="dxa"/>
              <w:right w:w="80" w:type="dxa"/>
            </w:tcMar>
          </w:tcPr>
          <w:p>
            <w:pPr>
              <w:jc w:val="left"/>
            </w:pPr>
            <w:r>
              <w:rPr>
                <w:rFonts w:ascii="Times New Roman" w:hAnsi="Times New Roman" w:cs="Times New Roman" w:eastAsia="Times New Roman"/>
                <w:b w:val="0"/>
                <w:i w:val="0"/>
                <w:color w:val="000000"/>
                <w:sz w:val="18"/>
              </w:rPr>
              <w:t>Táo tươi Envy, Hạng 1 (Kích cỡ 80 - 40%)</w:t>
            </w:r>
          </w:p>
        </w:tc>
        <w:tc>
          <w:tcPr>
            <w:tcW w:type="dxa" w:w="1440"/>
            <w:tcMar>
              <w:top w:w="80" w:type="dxa"/>
              <w:bottom w:w="80" w:type="dxa"/>
              <w:left w:w="80" w:type="dxa"/>
              <w:right w:w="80" w:type="dxa"/>
            </w:tcMar>
          </w:tcPr>
          <w:p>
            <w:pPr>
              <w:jc w:val="right"/>
            </w:pPr>
            <w:r>
              <w:rPr>
                <w:rFonts w:ascii="Times New Roman" w:hAnsi="Times New Roman" w:cs="Times New Roman" w:eastAsia="Times New Roman"/>
                <w:b w:val="0"/>
                <w:i w:val="0"/>
                <w:color w:val="000000"/>
                <w:sz w:val="18"/>
              </w:rPr>
              <w:t>1.383</w:t>
            </w:r>
          </w:p>
        </w:tc>
        <w:tc>
          <w:tcPr>
            <w:tcW w:type="dxa" w:w="1872"/>
            <w:tcMar>
              <w:top w:w="80" w:type="dxa"/>
              <w:bottom w:w="80" w:type="dxa"/>
              <w:left w:w="80" w:type="dxa"/>
              <w:right w:w="80" w:type="dxa"/>
            </w:tcMar>
          </w:tcPr>
          <w:p>
            <w:pPr>
              <w:jc w:val="right"/>
            </w:pPr>
            <w:r>
              <w:rPr>
                <w:rFonts w:ascii="Times New Roman" w:hAnsi="Times New Roman" w:cs="Times New Roman" w:eastAsia="Times New Roman"/>
                <w:b w:val="0"/>
                <w:i w:val="0"/>
                <w:color w:val="000000"/>
                <w:sz w:val="18"/>
              </w:rPr>
              <w:t>48,00</w:t>
            </w:r>
          </w:p>
        </w:tc>
        <w:tc>
          <w:tcPr>
            <w:tcW w:type="dxa" w:w="1728"/>
            <w:tcMar>
              <w:top w:w="80" w:type="dxa"/>
              <w:bottom w:w="80" w:type="dxa"/>
              <w:left w:w="80" w:type="dxa"/>
              <w:right w:w="80" w:type="dxa"/>
            </w:tcMar>
          </w:tcPr>
          <w:p>
            <w:pPr>
              <w:jc w:val="right"/>
            </w:pPr>
            <w:r>
              <w:rPr>
                <w:rFonts w:ascii="Times New Roman" w:hAnsi="Times New Roman" w:cs="Times New Roman" w:eastAsia="Times New Roman"/>
                <w:b w:val="0"/>
                <w:i w:val="0"/>
                <w:color w:val="000000"/>
                <w:sz w:val="18"/>
              </w:rPr>
              <w:t>66.384,00</w:t>
            </w:r>
          </w:p>
        </w:tc>
      </w:tr>
      <w:tr>
        <w:tc>
          <w:tcPr>
            <w:tcW w:type="dxa" w:w="864"/>
            <w:tcMar>
              <w:top w:w="80" w:type="dxa"/>
              <w:bottom w:w="80" w:type="dxa"/>
              <w:left w:w="80" w:type="dxa"/>
              <w:right w:w="80" w:type="dxa"/>
            </w:tcMar>
          </w:tcPr>
          <w:p>
            <w:pPr>
              <w:jc w:val="center"/>
            </w:pPr>
            <w:r>
              <w:rPr>
                <w:rFonts w:ascii="Times New Roman" w:hAnsi="Times New Roman" w:cs="Times New Roman" w:eastAsia="Times New Roman"/>
                <w:b w:val="0"/>
                <w:i w:val="0"/>
                <w:color w:val="000000"/>
                <w:sz w:val="18"/>
              </w:rPr>
              <w:t>3</w:t>
            </w:r>
          </w:p>
        </w:tc>
        <w:tc>
          <w:tcPr>
            <w:tcW w:type="dxa" w:w="4032"/>
            <w:tcMar>
              <w:top w:w="80" w:type="dxa"/>
              <w:bottom w:w="80" w:type="dxa"/>
              <w:left w:w="80" w:type="dxa"/>
              <w:right w:w="80" w:type="dxa"/>
            </w:tcMar>
          </w:tcPr>
          <w:p>
            <w:pPr>
              <w:jc w:val="left"/>
            </w:pPr>
            <w:r>
              <w:rPr>
                <w:rFonts w:ascii="Times New Roman" w:hAnsi="Times New Roman" w:cs="Times New Roman" w:eastAsia="Times New Roman"/>
                <w:b w:val="0"/>
                <w:i w:val="0"/>
                <w:color w:val="000000"/>
                <w:sz w:val="18"/>
              </w:rPr>
              <w:t>Táo tươi Envy, Hạng 1 (Kích cỡ 90 - 20%)</w:t>
            </w:r>
          </w:p>
        </w:tc>
        <w:tc>
          <w:tcPr>
            <w:tcW w:type="dxa" w:w="1440"/>
            <w:tcMar>
              <w:top w:w="80" w:type="dxa"/>
              <w:bottom w:w="80" w:type="dxa"/>
              <w:left w:w="80" w:type="dxa"/>
              <w:right w:w="80" w:type="dxa"/>
            </w:tcMar>
          </w:tcPr>
          <w:p>
            <w:pPr>
              <w:jc w:val="right"/>
            </w:pPr>
            <w:r>
              <w:rPr>
                <w:rFonts w:ascii="Times New Roman" w:hAnsi="Times New Roman" w:cs="Times New Roman" w:eastAsia="Times New Roman"/>
                <w:b w:val="0"/>
                <w:i w:val="0"/>
                <w:color w:val="000000"/>
                <w:sz w:val="18"/>
              </w:rPr>
              <w:t>691</w:t>
            </w:r>
          </w:p>
        </w:tc>
        <w:tc>
          <w:tcPr>
            <w:tcW w:type="dxa" w:w="1872"/>
            <w:tcMar>
              <w:top w:w="80" w:type="dxa"/>
              <w:bottom w:w="80" w:type="dxa"/>
              <w:left w:w="80" w:type="dxa"/>
              <w:right w:w="80" w:type="dxa"/>
            </w:tcMar>
          </w:tcPr>
          <w:p>
            <w:pPr>
              <w:jc w:val="right"/>
            </w:pPr>
            <w:r>
              <w:rPr>
                <w:rFonts w:ascii="Times New Roman" w:hAnsi="Times New Roman" w:cs="Times New Roman" w:eastAsia="Times New Roman"/>
                <w:b w:val="0"/>
                <w:i w:val="0"/>
                <w:color w:val="000000"/>
                <w:sz w:val="18"/>
              </w:rPr>
              <w:t>48,00</w:t>
            </w:r>
          </w:p>
        </w:tc>
        <w:tc>
          <w:tcPr>
            <w:tcW w:type="dxa" w:w="1728"/>
            <w:tcMar>
              <w:top w:w="80" w:type="dxa"/>
              <w:bottom w:w="80" w:type="dxa"/>
              <w:left w:w="80" w:type="dxa"/>
              <w:right w:w="80" w:type="dxa"/>
            </w:tcMar>
          </w:tcPr>
          <w:p>
            <w:pPr>
              <w:jc w:val="right"/>
            </w:pPr>
            <w:r>
              <w:rPr>
                <w:rFonts w:ascii="Times New Roman" w:hAnsi="Times New Roman" w:cs="Times New Roman" w:eastAsia="Times New Roman"/>
                <w:b w:val="0"/>
                <w:i w:val="0"/>
                <w:color w:val="000000"/>
                <w:sz w:val="18"/>
              </w:rPr>
              <w:t>33.168,00</w:t>
            </w:r>
          </w:p>
        </w:tc>
      </w:tr>
      <w:tr>
        <w:tc>
          <w:tcPr>
            <w:tcW w:type="dxa" w:w="864"/>
            <w:tcMar>
              <w:top w:w="80" w:type="dxa"/>
              <w:bottom w:w="80" w:type="dxa"/>
              <w:left w:w="80" w:type="dxa"/>
              <w:right w:w="80" w:type="dxa"/>
            </w:tcMar>
            <w:shd w:fill="EAEFF5"/>
          </w:tcPr>
          <w:p>
            <w:pPr>
              <w:jc w:val="center"/>
            </w:pPr>
            <w:r>
              <w:rPr>
                <w:rFonts w:ascii="Times New Roman" w:hAnsi="Times New Roman" w:cs="Times New Roman" w:eastAsia="Times New Roman"/>
                <w:b/>
                <w:i w:val="0"/>
                <w:color w:val="000000"/>
                <w:sz w:val="18"/>
              </w:rPr>
              <w:t>TỔNG</w:t>
            </w:r>
          </w:p>
        </w:tc>
        <w:tc>
          <w:tcPr>
            <w:tcW w:type="dxa" w:w="4032"/>
            <w:tcMar>
              <w:top w:w="80" w:type="dxa"/>
              <w:bottom w:w="80" w:type="dxa"/>
              <w:left w:w="80" w:type="dxa"/>
              <w:right w:w="80" w:type="dxa"/>
            </w:tcMar>
            <w:shd w:fill="EAEFF5"/>
          </w:tcPr>
          <w:p>
            <w:pPr>
              <w:jc w:val="left"/>
            </w:pPr>
            <w:r>
              <w:rPr>
                <w:rFonts w:ascii="Times New Roman" w:hAnsi="Times New Roman" w:cs="Times New Roman" w:eastAsia="Times New Roman"/>
                <w:b/>
                <w:i w:val="0"/>
                <w:color w:val="000000"/>
                <w:sz w:val="18"/>
              </w:rPr>
              <w:t>Tổng cộng: 3 container 40RF (72 Pallet)</w:t>
            </w:r>
          </w:p>
        </w:tc>
        <w:tc>
          <w:tcPr>
            <w:tcW w:type="dxa" w:w="1440"/>
            <w:tcMar>
              <w:top w:w="80" w:type="dxa"/>
              <w:bottom w:w="80" w:type="dxa"/>
              <w:left w:w="80" w:type="dxa"/>
              <w:right w:w="80" w:type="dxa"/>
            </w:tcMar>
            <w:shd w:fill="EAEFF5"/>
          </w:tcPr>
          <w:p>
            <w:pPr>
              <w:jc w:val="right"/>
            </w:pPr>
            <w:r>
              <w:rPr>
                <w:rFonts w:ascii="Times New Roman" w:hAnsi="Times New Roman" w:cs="Times New Roman" w:eastAsia="Times New Roman"/>
                <w:b/>
                <w:i w:val="0"/>
                <w:color w:val="000000"/>
                <w:sz w:val="18"/>
              </w:rPr>
              <w:t>3.456</w:t>
            </w:r>
          </w:p>
        </w:tc>
        <w:tc>
          <w:tcPr>
            <w:tcW w:type="dxa" w:w="1872"/>
            <w:tcMar>
              <w:top w:w="80" w:type="dxa"/>
              <w:bottom w:w="80" w:type="dxa"/>
              <w:left w:w="80" w:type="dxa"/>
              <w:right w:w="80" w:type="dxa"/>
            </w:tcMar>
            <w:shd w:fill="EAEFF5"/>
          </w:tcPr>
          <w:p>
            <w:pPr>
              <w:jc w:val="right"/>
            </w:pPr>
            <w:r>
              <w:rPr>
                <w:rFonts w:ascii="Times New Roman" w:hAnsi="Times New Roman" w:cs="Times New Roman" w:eastAsia="Times New Roman"/>
                <w:b/>
                <w:i w:val="0"/>
                <w:color w:val="000000"/>
                <w:sz w:val="18"/>
              </w:rPr>
              <w:t>—</w:t>
            </w:r>
          </w:p>
        </w:tc>
        <w:tc>
          <w:tcPr>
            <w:tcW w:type="dxa" w:w="1728"/>
            <w:tcMar>
              <w:top w:w="80" w:type="dxa"/>
              <w:bottom w:w="80" w:type="dxa"/>
              <w:left w:w="80" w:type="dxa"/>
              <w:right w:w="80" w:type="dxa"/>
            </w:tcMar>
            <w:shd w:fill="EAEFF5"/>
          </w:tcPr>
          <w:p>
            <w:pPr>
              <w:jc w:val="right"/>
            </w:pPr>
            <w:r>
              <w:rPr>
                <w:rFonts w:ascii="Times New Roman" w:hAnsi="Times New Roman" w:cs="Times New Roman" w:eastAsia="Times New Roman"/>
                <w:b/>
                <w:i w:val="0"/>
                <w:color w:val="000000"/>
                <w:sz w:val="18"/>
              </w:rPr>
              <w:t>165.888,00</w:t>
            </w:r>
          </w:p>
        </w:tc>
      </w:tr>
    </w:tbl>
    <w:p>
      <w:pPr>
        <w:spacing w:before="20" w:after="20" w:line="269" w:lineRule="auto"/>
        <w:jc w:val="both"/>
      </w:pPr>
    </w:p>
    <w:p>
      <w:pPr>
        <w:spacing w:before="10" w:after="30" w:line="269" w:lineRule="auto"/>
        <w:ind w:left="360"/>
        <w:jc w:val="both"/>
      </w:pPr>
      <w:r>
        <w:rPr>
          <w:rFonts w:ascii="Times New Roman" w:hAnsi="Times New Roman" w:cs="Times New Roman" w:eastAsia="Times New Roman"/>
          <w:b/>
          <w:i w:val="0"/>
          <w:color w:val="000000"/>
          <w:sz w:val="22"/>
        </w:rPr>
        <w:t xml:space="preserve">3.2. Tổng giá trị hợp đồng: </w:t>
      </w:r>
      <w:r>
        <w:rPr>
          <w:rFonts w:ascii="Times New Roman" w:hAnsi="Times New Roman" w:cs="Times New Roman" w:eastAsia="Times New Roman"/>
          <w:b/>
          <w:i w:val="0"/>
          <w:color w:val="000000"/>
          <w:sz w:val="22"/>
        </w:rPr>
        <w:t>165.888,00 USD (Bằng chữ: Một trăm sáu mươi lăm nghìn tám trăm tám mươi tám Đô la Mỹ chẵn).</w:t>
      </w:r>
    </w:p>
    <w:p>
      <w:pPr>
        <w:spacing w:before="10" w:after="30" w:line="269" w:lineRule="auto"/>
        <w:ind w:left="360"/>
        <w:jc w:val="both"/>
      </w:pPr>
      <w:r>
        <w:rPr>
          <w:rFonts w:ascii="Times New Roman" w:hAnsi="Times New Roman" w:cs="Times New Roman" w:eastAsia="Times New Roman"/>
          <w:b/>
          <w:i w:val="0"/>
          <w:color w:val="000000"/>
          <w:sz w:val="22"/>
        </w:rPr>
        <w:t xml:space="preserve">3.3. Cơ cấu giá: </w:t>
      </w:r>
      <w:r>
        <w:rPr>
          <w:rFonts w:ascii="Times New Roman" w:hAnsi="Times New Roman" w:cs="Times New Roman" w:eastAsia="Times New Roman"/>
          <w:b w:val="0"/>
          <w:i w:val="0"/>
          <w:color w:val="000000"/>
          <w:sz w:val="22"/>
        </w:rPr>
        <w:t>Đơn giá là cố định, tính theo điều kiện FOB Cảng Napier, New Zealand (Incoterms 2020), đã bao gồm chi phí đóng gói tiêu chuẩn xuất khẩu, pallet, bốc xếp hàng lên tàu và thủ tục hải quan xuất khẩu tại cảng bốc.</w:t>
      </w:r>
    </w:p>
    <w:p>
      <w:pPr>
        <w:keepNext/>
        <w:spacing w:before="120" w:after="40" w:line="269" w:lineRule="auto"/>
        <w:jc w:val="left"/>
      </w:pPr>
      <w:r>
        <w:rPr>
          <w:rFonts w:ascii="Times New Roman" w:hAnsi="Times New Roman" w:cs="Times New Roman" w:eastAsia="Times New Roman"/>
          <w:b/>
          <w:i w:val="0"/>
          <w:color w:val="0F2240"/>
          <w:sz w:val="23"/>
        </w:rPr>
        <w:t>ĐIỀU 4: GIAO HÀNG VÀ VẬN TẢI</w:t>
      </w:r>
    </w:p>
    <w:p>
      <w:pPr>
        <w:spacing w:before="10" w:after="30" w:line="269" w:lineRule="auto"/>
        <w:ind w:left="360"/>
        <w:jc w:val="both"/>
      </w:pPr>
      <w:r>
        <w:rPr>
          <w:rFonts w:ascii="Times New Roman" w:hAnsi="Times New Roman" w:cs="Times New Roman" w:eastAsia="Times New Roman"/>
          <w:b/>
          <w:i w:val="0"/>
          <w:color w:val="000000"/>
          <w:sz w:val="22"/>
        </w:rPr>
        <w:t xml:space="preserve">4.1. Thời gian giao hàng: </w:t>
      </w:r>
      <w:r>
        <w:rPr>
          <w:rFonts w:ascii="Times New Roman" w:hAnsi="Times New Roman" w:cs="Times New Roman" w:eastAsia="Times New Roman"/>
          <w:b w:val="0"/>
          <w:i w:val="0"/>
          <w:color w:val="000000"/>
          <w:sz w:val="22"/>
        </w:rPr>
        <w:t>Giao hàng lên tàu chậm nhất vào ngày 30 tháng 04 năm 2026.</w:t>
      </w:r>
    </w:p>
    <w:p>
      <w:pPr>
        <w:spacing w:before="10" w:after="30" w:line="269" w:lineRule="auto"/>
        <w:ind w:left="360"/>
        <w:jc w:val="both"/>
      </w:pPr>
      <w:r>
        <w:rPr>
          <w:rFonts w:ascii="Times New Roman" w:hAnsi="Times New Roman" w:cs="Times New Roman" w:eastAsia="Times New Roman"/>
          <w:b/>
          <w:i w:val="0"/>
          <w:color w:val="000000"/>
          <w:sz w:val="22"/>
        </w:rPr>
        <w:t xml:space="preserve">4.2. Cảng bốc hàng: </w:t>
      </w:r>
      <w:r>
        <w:rPr>
          <w:rFonts w:ascii="Times New Roman" w:hAnsi="Times New Roman" w:cs="Times New Roman" w:eastAsia="Times New Roman"/>
          <w:b w:val="0"/>
          <w:i w:val="0"/>
          <w:color w:val="000000"/>
          <w:sz w:val="22"/>
        </w:rPr>
        <w:t>Cảng Napier, Vịnh Hawke's Bay, New Zealand.</w:t>
      </w:r>
    </w:p>
    <w:p>
      <w:pPr>
        <w:spacing w:before="10" w:after="30" w:line="269" w:lineRule="auto"/>
        <w:ind w:left="360"/>
        <w:jc w:val="both"/>
      </w:pPr>
      <w:r>
        <w:rPr>
          <w:rFonts w:ascii="Times New Roman" w:hAnsi="Times New Roman" w:cs="Times New Roman" w:eastAsia="Times New Roman"/>
          <w:b/>
          <w:i w:val="0"/>
          <w:color w:val="000000"/>
          <w:sz w:val="22"/>
        </w:rPr>
        <w:t xml:space="preserve">4.3. Cảng dỡ hàng: </w:t>
      </w:r>
      <w:r>
        <w:rPr>
          <w:rFonts w:ascii="Times New Roman" w:hAnsi="Times New Roman" w:cs="Times New Roman" w:eastAsia="Times New Roman"/>
          <w:b w:val="0"/>
          <w:i w:val="0"/>
          <w:color w:val="000000"/>
          <w:sz w:val="22"/>
        </w:rPr>
        <w:t>Cảng Hải Phòng (Khu bến Nam Hải Đình Vũ / Lạch Huyện), Việt Nam.</w:t>
      </w:r>
    </w:p>
    <w:p>
      <w:pPr>
        <w:spacing w:before="10" w:after="30" w:line="269" w:lineRule="auto"/>
        <w:ind w:left="360"/>
        <w:jc w:val="both"/>
      </w:pPr>
      <w:r>
        <w:rPr>
          <w:rFonts w:ascii="Times New Roman" w:hAnsi="Times New Roman" w:cs="Times New Roman" w:eastAsia="Times New Roman"/>
          <w:b/>
          <w:i w:val="0"/>
          <w:color w:val="000000"/>
          <w:sz w:val="22"/>
        </w:rPr>
        <w:t xml:space="preserve">4.4. Điều kiện vận chuyển: </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Giao hàng từng phần: </w:t>
      </w:r>
      <w:r>
        <w:rPr>
          <w:rFonts w:ascii="Times New Roman" w:hAnsi="Times New Roman" w:cs="Times New Roman" w:eastAsia="Times New Roman"/>
          <w:b w:val="0"/>
          <w:i w:val="0"/>
          <w:color w:val="000000"/>
          <w:sz w:val="22"/>
        </w:rPr>
        <w:t>Được phép (Allowed).</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Chuyển tải: </w:t>
      </w:r>
      <w:r>
        <w:rPr>
          <w:rFonts w:ascii="Times New Roman" w:hAnsi="Times New Roman" w:cs="Times New Roman" w:eastAsia="Times New Roman"/>
          <w:b w:val="0"/>
          <w:i w:val="0"/>
          <w:color w:val="000000"/>
          <w:sz w:val="22"/>
        </w:rPr>
        <w:t>Nghiêm cấm (Prohibited).</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Hãng tàu vận chuyển: </w:t>
      </w:r>
      <w:r>
        <w:rPr>
          <w:rFonts w:ascii="Times New Roman" w:hAnsi="Times New Roman" w:cs="Times New Roman" w:eastAsia="Times New Roman"/>
          <w:b w:val="0"/>
          <w:i w:val="0"/>
          <w:color w:val="000000"/>
          <w:sz w:val="22"/>
        </w:rPr>
        <w:t>Maersk Line / Ocean Network Express (ONE) theo lệnh đặt chỗ của Bên Mua.</w:t>
      </w:r>
    </w:p>
    <w:p>
      <w:pPr>
        <w:spacing w:before="10" w:after="30" w:line="269" w:lineRule="auto"/>
        <w:ind w:left="360"/>
        <w:jc w:val="both"/>
      </w:pPr>
      <w:r>
        <w:rPr>
          <w:rFonts w:ascii="Times New Roman" w:hAnsi="Times New Roman" w:cs="Times New Roman" w:eastAsia="Times New Roman"/>
          <w:b/>
          <w:i w:val="0"/>
          <w:color w:val="000000"/>
          <w:sz w:val="22"/>
        </w:rPr>
        <w:t xml:space="preserve">4.5. Yêu cầu kỹ thuật Container lạnh: </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Nhiệt độ cài đặt: </w:t>
      </w:r>
      <w:r>
        <w:rPr>
          <w:rFonts w:ascii="Times New Roman" w:hAnsi="Times New Roman" w:cs="Times New Roman" w:eastAsia="Times New Roman"/>
          <w:b w:val="0"/>
          <w:i w:val="0"/>
          <w:color w:val="000000"/>
          <w:sz w:val="22"/>
        </w:rPr>
        <w:t>Duy trì liên tục ở mức +0,5°C ± 0,5°C trong suốt hành trình.</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Thông gió &amp; Độ ẩm: </w:t>
      </w:r>
      <w:r>
        <w:rPr>
          <w:rFonts w:ascii="Times New Roman" w:hAnsi="Times New Roman" w:cs="Times New Roman" w:eastAsia="Times New Roman"/>
          <w:b w:val="0"/>
          <w:i w:val="0"/>
          <w:color w:val="000000"/>
          <w:sz w:val="22"/>
        </w:rPr>
        <w:t>Thông gió: 15 m³/giờ.    |    Độ ẩm tương đối: 90% – 95%.</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Thiết bị ghi nhiệt: </w:t>
      </w:r>
      <w:r>
        <w:rPr>
          <w:rFonts w:ascii="Times New Roman" w:hAnsi="Times New Roman" w:cs="Times New Roman" w:eastAsia="Times New Roman"/>
          <w:b w:val="0"/>
          <w:i w:val="0"/>
          <w:color w:val="000000"/>
          <w:sz w:val="22"/>
        </w:rPr>
        <w:t>Thiết bị tự ghi nhiệt độ (data loggers) phải được kích hoạt và đặt bên trong mỗi container trước khi kẹp chì niêm phong.</w:t>
      </w:r>
    </w:p>
    <w:p>
      <w:r>
        <w:br w:type="page"/>
      </w:r>
    </w:p>
    <w:p>
      <w:pPr>
        <w:keepNext/>
        <w:spacing w:before="120" w:after="40" w:line="269" w:lineRule="auto"/>
        <w:jc w:val="left"/>
      </w:pPr>
      <w:r>
        <w:rPr>
          <w:rFonts w:ascii="Times New Roman" w:hAnsi="Times New Roman" w:cs="Times New Roman" w:eastAsia="Times New Roman"/>
          <w:b/>
          <w:i w:val="0"/>
          <w:color w:val="0F2240"/>
          <w:sz w:val="23"/>
        </w:rPr>
        <w:t>ĐIỀU 5: BAO BÌ ĐÓNG GÓI VÀ KÝ MÃ HIỆU</w:t>
      </w:r>
    </w:p>
    <w:p>
      <w:pPr>
        <w:spacing w:before="10" w:after="30" w:line="269" w:lineRule="auto"/>
        <w:ind w:left="360"/>
        <w:jc w:val="both"/>
      </w:pPr>
      <w:r>
        <w:rPr>
          <w:rFonts w:ascii="Times New Roman" w:hAnsi="Times New Roman" w:cs="Times New Roman" w:eastAsia="Times New Roman"/>
          <w:b/>
          <w:i w:val="0"/>
          <w:color w:val="000000"/>
          <w:sz w:val="22"/>
        </w:rPr>
        <w:t xml:space="preserve">5.1. Bao bì đóng gói: </w:t>
      </w:r>
      <w:r>
        <w:rPr>
          <w:rFonts w:ascii="Times New Roman" w:hAnsi="Times New Roman" w:cs="Times New Roman" w:eastAsia="Times New Roman"/>
          <w:b w:val="0"/>
          <w:i w:val="0"/>
          <w:color w:val="000000"/>
          <w:sz w:val="22"/>
        </w:rPr>
        <w:t>Đóng trong thùng carton chuyên dụng đục lỗ thông gió mới 100%, trọng lượng tịnh 18,00 kg/thùng. Thùng được quấn màng co và đóng đai nẹp trên 72 pallet gỗ đạt tiêu chuẩn xử lý nhiệt ISPM 15 (48 thùng/pallet).</w:t>
      </w:r>
    </w:p>
    <w:p>
      <w:pPr>
        <w:spacing w:before="10" w:after="30" w:line="269" w:lineRule="auto"/>
        <w:ind w:left="360"/>
        <w:jc w:val="both"/>
      </w:pPr>
      <w:r>
        <w:rPr>
          <w:rFonts w:ascii="Times New Roman" w:hAnsi="Times New Roman" w:cs="Times New Roman" w:eastAsia="Times New Roman"/>
          <w:b/>
          <w:i w:val="0"/>
          <w:color w:val="000000"/>
          <w:sz w:val="22"/>
        </w:rPr>
        <w:t xml:space="preserve">5.2. Ký mã hiệu (Shipping Marks): </w:t>
      </w:r>
      <w:r>
        <w:rPr>
          <w:rFonts w:ascii="Times New Roman" w:hAnsi="Times New Roman" w:cs="Times New Roman" w:eastAsia="Times New Roman"/>
          <w:b w:val="0"/>
          <w:i w:val="0"/>
          <w:color w:val="000000"/>
          <w:sz w:val="22"/>
        </w:rPr>
        <w:t>In rõ ràng, không phai trên hai (02) mặt đối diện của từng thùng carton:</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Nhãn hiệu: </w:t>
      </w:r>
      <w:r>
        <w:rPr>
          <w:rFonts w:ascii="Times New Roman" w:hAnsi="Times New Roman" w:cs="Times New Roman" w:eastAsia="Times New Roman"/>
          <w:b w:val="0"/>
          <w:i w:val="0"/>
          <w:color w:val="000000"/>
          <w:sz w:val="22"/>
        </w:rPr>
        <w:t>ENVY™ Apples    |    Xuất xứ: Product of New Zealand</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Chủng loại &amp; Phẩm cấp: </w:t>
      </w:r>
      <w:r>
        <w:rPr>
          <w:rFonts w:ascii="Times New Roman" w:hAnsi="Times New Roman" w:cs="Times New Roman" w:eastAsia="Times New Roman"/>
          <w:b w:val="0"/>
          <w:i w:val="0"/>
          <w:color w:val="000000"/>
          <w:sz w:val="22"/>
        </w:rPr>
        <w:t>Fresh Envy - Grade 1 - Crop 2026    |    Cỡ: Size 70/80/90 - 18.00 kg Net</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Chỉ dẫn bảo quản: </w:t>
      </w:r>
      <w:r>
        <w:rPr>
          <w:rFonts w:ascii="Times New Roman" w:hAnsi="Times New Roman" w:cs="Times New Roman" w:eastAsia="Times New Roman"/>
          <w:b w:val="0"/>
          <w:i w:val="0"/>
          <w:color w:val="000000"/>
          <w:sz w:val="22"/>
        </w:rPr>
        <w:t>"KEEP CHILLED AT 0.5°C - DO NOT FREEZE"</w:t>
      </w:r>
    </w:p>
    <w:p>
      <w:pPr>
        <w:keepNext/>
        <w:spacing w:before="120" w:after="40" w:line="269" w:lineRule="auto"/>
        <w:jc w:val="left"/>
      </w:pPr>
      <w:r>
        <w:rPr>
          <w:rFonts w:ascii="Times New Roman" w:hAnsi="Times New Roman" w:cs="Times New Roman" w:eastAsia="Times New Roman"/>
          <w:b/>
          <w:i w:val="0"/>
          <w:color w:val="0F2240"/>
          <w:sz w:val="23"/>
        </w:rPr>
        <w:t>ĐIỀU 6: ĐIỀU KIỆN VÀ PHƯƠNG THỨC THANH TOÁN</w:t>
      </w:r>
    </w:p>
    <w:p>
      <w:pPr>
        <w:spacing w:before="10" w:after="30" w:line="269" w:lineRule="auto"/>
        <w:ind w:left="360"/>
        <w:jc w:val="both"/>
      </w:pPr>
      <w:r>
        <w:rPr>
          <w:rFonts w:ascii="Times New Roman" w:hAnsi="Times New Roman" w:cs="Times New Roman" w:eastAsia="Times New Roman"/>
          <w:b/>
          <w:i w:val="0"/>
          <w:color w:val="000000"/>
          <w:sz w:val="22"/>
        </w:rPr>
        <w:t xml:space="preserve">6.1. Phương thức thanh toán: </w:t>
      </w:r>
      <w:r>
        <w:rPr>
          <w:rFonts w:ascii="Times New Roman" w:hAnsi="Times New Roman" w:cs="Times New Roman" w:eastAsia="Times New Roman"/>
          <w:b w:val="0"/>
          <w:i w:val="0"/>
          <w:color w:val="000000"/>
          <w:sz w:val="22"/>
        </w:rPr>
        <w:t>100% bằng Thư tín dụng chứng từ không hủy ngang trả ngay (L/C at sight), tuân thủ UCP 600.</w:t>
      </w:r>
    </w:p>
    <w:p>
      <w:pPr>
        <w:spacing w:before="10" w:after="30" w:line="269" w:lineRule="auto"/>
        <w:ind w:left="360"/>
        <w:jc w:val="both"/>
      </w:pPr>
      <w:r>
        <w:rPr>
          <w:rFonts w:ascii="Times New Roman" w:hAnsi="Times New Roman" w:cs="Times New Roman" w:eastAsia="Times New Roman"/>
          <w:b/>
          <w:i w:val="0"/>
          <w:color w:val="000000"/>
          <w:sz w:val="22"/>
        </w:rPr>
        <w:t xml:space="preserve">6.2. Ngân hàng phát hành: </w:t>
      </w:r>
      <w:r>
        <w:rPr>
          <w:rFonts w:ascii="Times New Roman" w:hAnsi="Times New Roman" w:cs="Times New Roman" w:eastAsia="Times New Roman"/>
          <w:b w:val="0"/>
          <w:i w:val="0"/>
          <w:color w:val="000000"/>
          <w:sz w:val="22"/>
        </w:rPr>
        <w:t>Ngân hàng TMCP Ngoại thương Việt Nam (Vietcombank) – Chi nhánh Hà Nội.</w:t>
      </w:r>
    </w:p>
    <w:p>
      <w:pPr>
        <w:spacing w:before="10" w:after="30" w:line="269" w:lineRule="auto"/>
        <w:ind w:left="360"/>
        <w:jc w:val="both"/>
      </w:pPr>
      <w:r>
        <w:rPr>
          <w:rFonts w:ascii="Times New Roman" w:hAnsi="Times New Roman" w:cs="Times New Roman" w:eastAsia="Times New Roman"/>
          <w:b/>
          <w:i w:val="0"/>
          <w:color w:val="000000"/>
          <w:sz w:val="22"/>
        </w:rPr>
        <w:t xml:space="preserve">6.3. Ngân hàng thông báo: </w:t>
      </w:r>
      <w:r>
        <w:rPr>
          <w:rFonts w:ascii="Times New Roman" w:hAnsi="Times New Roman" w:cs="Times New Roman" w:eastAsia="Times New Roman"/>
          <w:b w:val="0"/>
          <w:i w:val="0"/>
          <w:color w:val="000000"/>
          <w:sz w:val="22"/>
        </w:rPr>
        <w:t>Ngân hàng ANZ New Zealand Limited, Chi nhánh Auckland.</w:t>
      </w:r>
    </w:p>
    <w:p>
      <w:pPr>
        <w:spacing w:before="10" w:after="30" w:line="269" w:lineRule="auto"/>
        <w:ind w:left="360"/>
        <w:jc w:val="both"/>
      </w:pPr>
      <w:r>
        <w:rPr>
          <w:rFonts w:ascii="Times New Roman" w:hAnsi="Times New Roman" w:cs="Times New Roman" w:eastAsia="Times New Roman"/>
          <w:b/>
          <w:i w:val="0"/>
          <w:color w:val="000000"/>
          <w:sz w:val="22"/>
        </w:rPr>
        <w:t xml:space="preserve">6.4. Thời hạn hiệu lực của L/C: </w:t>
      </w:r>
      <w:r>
        <w:rPr>
          <w:rFonts w:ascii="Times New Roman" w:hAnsi="Times New Roman" w:cs="Times New Roman" w:eastAsia="Times New Roman"/>
          <w:b w:val="0"/>
          <w:i w:val="0"/>
          <w:color w:val="000000"/>
          <w:sz w:val="22"/>
        </w:rPr>
        <w:t>45 ngày kể từ ngày mở, hết hạn tại New Zealand.</w:t>
      </w:r>
    </w:p>
    <w:p>
      <w:pPr>
        <w:spacing w:before="10" w:after="30" w:line="269" w:lineRule="auto"/>
        <w:ind w:left="360"/>
        <w:jc w:val="both"/>
      </w:pPr>
      <w:r>
        <w:rPr>
          <w:rFonts w:ascii="Times New Roman" w:hAnsi="Times New Roman" w:cs="Times New Roman" w:eastAsia="Times New Roman"/>
          <w:b/>
          <w:i w:val="0"/>
          <w:color w:val="000000"/>
          <w:sz w:val="22"/>
        </w:rPr>
        <w:t xml:space="preserve">6.5. Bộ chứng từ thanh toán bắt buộc: </w:t>
      </w:r>
      <w:r>
        <w:rPr>
          <w:rFonts w:ascii="Times New Roman" w:hAnsi="Times New Roman" w:cs="Times New Roman" w:eastAsia="Times New Roman"/>
          <w:b w:val="0"/>
          <w:i w:val="0"/>
          <w:color w:val="000000"/>
          <w:sz w:val="22"/>
        </w:rPr>
        <w:t>Thanh toán được thực hiện khi xuất trình đầy đủ:</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1. Vận đơn đường biển: </w:t>
      </w:r>
      <w:r>
        <w:rPr>
          <w:rFonts w:ascii="Times New Roman" w:hAnsi="Times New Roman" w:cs="Times New Roman" w:eastAsia="Times New Roman"/>
          <w:b w:val="0"/>
          <w:i w:val="0"/>
          <w:color w:val="000000"/>
          <w:sz w:val="22"/>
        </w:rPr>
        <w:t>Trọn bộ (3/3) bản gốc Vận đơn hoàn hảo đã bốc hàng lên tàu (Clean on board B/L), ghi rõ "Freight Collect", theo lệnh của Vietcombank, thông báo cho Bên Mua, thể hiện nhiệt độ container lạnh +0,5°C.</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2. Hóa đơn thương mại: </w:t>
      </w:r>
      <w:r>
        <w:rPr>
          <w:rFonts w:ascii="Times New Roman" w:hAnsi="Times New Roman" w:cs="Times New Roman" w:eastAsia="Times New Roman"/>
          <w:b w:val="0"/>
          <w:i w:val="0"/>
          <w:color w:val="000000"/>
          <w:sz w:val="22"/>
        </w:rPr>
        <w:t>Hóa đơn thương mại có chữ ký: 03 bản gốc.</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3. Phiếu đóng gói: </w:t>
      </w:r>
      <w:r>
        <w:rPr>
          <w:rFonts w:ascii="Times New Roman" w:hAnsi="Times New Roman" w:cs="Times New Roman" w:eastAsia="Times New Roman"/>
          <w:b w:val="0"/>
          <w:i w:val="0"/>
          <w:color w:val="000000"/>
          <w:sz w:val="22"/>
        </w:rPr>
        <w:t>Phiếu đóng gói chi tiết (Packing List): 03 bản gốc.</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4. Chứng nhận xuất xứ: </w:t>
      </w:r>
      <w:r>
        <w:rPr>
          <w:rFonts w:ascii="Times New Roman" w:hAnsi="Times New Roman" w:cs="Times New Roman" w:eastAsia="Times New Roman"/>
          <w:b w:val="0"/>
          <w:i w:val="0"/>
          <w:color w:val="000000"/>
          <w:sz w:val="22"/>
        </w:rPr>
        <w:t>Giấy chứng nhận xuất xứ Form AANZ: 01 bản gốc do cơ quan có thẩm quyền New Zealand cấp theo AANZFTA.</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5. Kiểm dịch thực vật: </w:t>
      </w:r>
      <w:r>
        <w:rPr>
          <w:rFonts w:ascii="Times New Roman" w:hAnsi="Times New Roman" w:cs="Times New Roman" w:eastAsia="Times New Roman"/>
          <w:b w:val="0"/>
          <w:i w:val="0"/>
          <w:color w:val="000000"/>
          <w:sz w:val="22"/>
        </w:rPr>
        <w:t>Giấy chứng nhận kiểm dịch thực vật do Bộ Các ngành Cơ bản New Zealand (MPI) cấp, xác nhận không nhiễm ruồi đục quả Ceratitis capitata và Bactrocera tryoni.</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6. Chứng nhận phẩm chất: </w:t>
      </w:r>
      <w:r>
        <w:rPr>
          <w:rFonts w:ascii="Times New Roman" w:hAnsi="Times New Roman" w:cs="Times New Roman" w:eastAsia="Times New Roman"/>
          <w:b w:val="0"/>
          <w:i w:val="0"/>
          <w:color w:val="000000"/>
          <w:sz w:val="22"/>
        </w:rPr>
        <w:t>Giấy chứng nhận phẩm chất và tình trạng hàng hóa: 01 bản gốc do Bên Bán/cơ sở đóng gói cấp.</w:t>
      </w:r>
    </w:p>
    <w:p>
      <w:pPr>
        <w:keepNext/>
        <w:spacing w:before="120" w:after="40" w:line="269" w:lineRule="auto"/>
        <w:jc w:val="left"/>
      </w:pPr>
      <w:r>
        <w:rPr>
          <w:rFonts w:ascii="Times New Roman" w:hAnsi="Times New Roman" w:cs="Times New Roman" w:eastAsia="Times New Roman"/>
          <w:b/>
          <w:i w:val="0"/>
          <w:color w:val="0F2240"/>
          <w:sz w:val="23"/>
        </w:rPr>
        <w:t>ĐIỀU 7: BẢO HIỂM HÀNG HẢI</w:t>
      </w:r>
    </w:p>
    <w:p>
      <w:pPr>
        <w:spacing w:before="10" w:after="30" w:line="269" w:lineRule="auto"/>
        <w:ind w:left="360"/>
        <w:jc w:val="both"/>
      </w:pPr>
      <w:r>
        <w:rPr>
          <w:rFonts w:ascii="Times New Roman" w:hAnsi="Times New Roman" w:cs="Times New Roman" w:eastAsia="Times New Roman"/>
          <w:b/>
          <w:i w:val="0"/>
          <w:color w:val="000000"/>
          <w:sz w:val="22"/>
        </w:rPr>
        <w:t xml:space="preserve">7.1. Trách nhiệm mua bảo hiểm: </w:t>
      </w:r>
      <w:r>
        <w:rPr>
          <w:rFonts w:ascii="Times New Roman" w:hAnsi="Times New Roman" w:cs="Times New Roman" w:eastAsia="Times New Roman"/>
          <w:b w:val="0"/>
          <w:i w:val="0"/>
          <w:color w:val="000000"/>
          <w:sz w:val="22"/>
        </w:rPr>
        <w:t>Do hàng hóa mua theo điều kiện FOB Napier (Incoterms 2020), Bên Mua có trách nhiệm tự mua bảo hiểm hàng hải cho lô hàng.</w:t>
      </w:r>
    </w:p>
    <w:p>
      <w:pPr>
        <w:spacing w:before="10" w:after="30" w:line="269" w:lineRule="auto"/>
        <w:ind w:left="360"/>
        <w:jc w:val="both"/>
      </w:pPr>
      <w:r>
        <w:rPr>
          <w:rFonts w:ascii="Times New Roman" w:hAnsi="Times New Roman" w:cs="Times New Roman" w:eastAsia="Times New Roman"/>
          <w:b/>
          <w:i w:val="0"/>
          <w:color w:val="000000"/>
          <w:sz w:val="22"/>
        </w:rPr>
        <w:t xml:space="preserve">7.2. Doanh nghiệp bảo hiểm: </w:t>
      </w:r>
      <w:r>
        <w:rPr>
          <w:rFonts w:ascii="Times New Roman" w:hAnsi="Times New Roman" w:cs="Times New Roman" w:eastAsia="Times New Roman"/>
          <w:b w:val="0"/>
          <w:i w:val="0"/>
          <w:color w:val="000000"/>
          <w:sz w:val="22"/>
        </w:rPr>
        <w:t>Tổng công ty Cổ phần Bảo hiểm Bảo Việt – Chi nhánh Hà Nội.</w:t>
      </w:r>
    </w:p>
    <w:p>
      <w:pPr>
        <w:spacing w:before="10" w:after="30" w:line="269" w:lineRule="auto"/>
        <w:ind w:left="360"/>
        <w:jc w:val="both"/>
      </w:pPr>
      <w:r>
        <w:rPr>
          <w:rFonts w:ascii="Times New Roman" w:hAnsi="Times New Roman" w:cs="Times New Roman" w:eastAsia="Times New Roman"/>
          <w:b/>
          <w:i w:val="0"/>
          <w:color w:val="000000"/>
          <w:sz w:val="22"/>
        </w:rPr>
        <w:t xml:space="preserve">7.3. Điều kiện bảo hiểm: </w:t>
      </w:r>
      <w:r>
        <w:rPr>
          <w:rFonts w:ascii="Times New Roman" w:hAnsi="Times New Roman" w:cs="Times New Roman" w:eastAsia="Times New Roman"/>
          <w:b w:val="0"/>
          <w:i w:val="0"/>
          <w:color w:val="000000"/>
          <w:sz w:val="22"/>
        </w:rPr>
        <w:t>Điều khoản bảo hiểm hàng hóa Viện London loại A (ICC A 2009) bao gồm Điều khoản Thực phẩm đông lạnh/ướp lạnh (bảo hiểm cho sự cố máy lạnh container kéo dài liên tục trên 24 giờ).</w:t>
      </w:r>
    </w:p>
    <w:p>
      <w:pPr>
        <w:spacing w:before="10" w:after="30" w:line="269" w:lineRule="auto"/>
        <w:ind w:left="360"/>
        <w:jc w:val="both"/>
      </w:pPr>
      <w:r>
        <w:rPr>
          <w:rFonts w:ascii="Times New Roman" w:hAnsi="Times New Roman" w:cs="Times New Roman" w:eastAsia="Times New Roman"/>
          <w:b/>
          <w:i w:val="0"/>
          <w:color w:val="000000"/>
          <w:sz w:val="22"/>
        </w:rPr>
        <w:t xml:space="preserve">7.4. Số tiền bảo hiểm: </w:t>
      </w:r>
      <w:r>
        <w:rPr>
          <w:rFonts w:ascii="Times New Roman" w:hAnsi="Times New Roman" w:cs="Times New Roman" w:eastAsia="Times New Roman"/>
          <w:b w:val="0"/>
          <w:i w:val="0"/>
          <w:color w:val="000000"/>
          <w:sz w:val="22"/>
        </w:rPr>
        <w:t>193.036,80 USD (tính bằng 110% giá trị CIF của lô hàng).</w:t>
      </w:r>
    </w:p>
    <w:p>
      <w:r>
        <w:br w:type="page"/>
      </w:r>
    </w:p>
    <w:p>
      <w:pPr>
        <w:keepNext/>
        <w:spacing w:before="120" w:after="40" w:line="269" w:lineRule="auto"/>
        <w:jc w:val="left"/>
      </w:pPr>
      <w:r>
        <w:rPr>
          <w:rFonts w:ascii="Times New Roman" w:hAnsi="Times New Roman" w:cs="Times New Roman" w:eastAsia="Times New Roman"/>
          <w:b/>
          <w:i w:val="0"/>
          <w:color w:val="0F2240"/>
          <w:sz w:val="23"/>
        </w:rPr>
        <w:t>ĐIỀU 8: GIÁM ĐỊNH VÀ KHIẾU NẠI</w:t>
      </w:r>
    </w:p>
    <w:p>
      <w:pPr>
        <w:spacing w:before="10" w:after="30" w:line="269" w:lineRule="auto"/>
        <w:ind w:left="360"/>
        <w:jc w:val="both"/>
      </w:pPr>
      <w:r>
        <w:rPr>
          <w:rFonts w:ascii="Times New Roman" w:hAnsi="Times New Roman" w:cs="Times New Roman" w:eastAsia="Times New Roman"/>
          <w:b/>
          <w:i w:val="0"/>
          <w:color w:val="000000"/>
          <w:sz w:val="22"/>
        </w:rPr>
        <w:t xml:space="preserve">8.1. Giám định trước khi bốc hàng: </w:t>
      </w:r>
      <w:r>
        <w:rPr>
          <w:rFonts w:ascii="Times New Roman" w:hAnsi="Times New Roman" w:cs="Times New Roman" w:eastAsia="Times New Roman"/>
          <w:b w:val="0"/>
          <w:i w:val="0"/>
          <w:color w:val="000000"/>
          <w:sz w:val="22"/>
        </w:rPr>
        <w:t>Kiểm dịch thực vật do MPI New Zealand thực hiện tại cảng bốc hàng.</w:t>
      </w:r>
    </w:p>
    <w:p>
      <w:pPr>
        <w:spacing w:before="10" w:after="30" w:line="269" w:lineRule="auto"/>
        <w:ind w:left="360"/>
        <w:jc w:val="both"/>
      </w:pPr>
      <w:r>
        <w:rPr>
          <w:rFonts w:ascii="Times New Roman" w:hAnsi="Times New Roman" w:cs="Times New Roman" w:eastAsia="Times New Roman"/>
          <w:b/>
          <w:i w:val="0"/>
          <w:color w:val="000000"/>
          <w:sz w:val="22"/>
        </w:rPr>
        <w:t xml:space="preserve">8.2. Giám định tại cảng đến: </w:t>
      </w:r>
      <w:r>
        <w:rPr>
          <w:rFonts w:ascii="Times New Roman" w:hAnsi="Times New Roman" w:cs="Times New Roman" w:eastAsia="Times New Roman"/>
          <w:b w:val="0"/>
          <w:i w:val="0"/>
          <w:color w:val="000000"/>
          <w:sz w:val="22"/>
        </w:rPr>
        <w:t>Do Vinacontrol thực hiện tại Cảng Hải Phòng ngay khi container cập cảng.</w:t>
      </w:r>
    </w:p>
    <w:p>
      <w:pPr>
        <w:spacing w:before="10" w:after="30" w:line="269" w:lineRule="auto"/>
        <w:ind w:left="360"/>
        <w:jc w:val="both"/>
      </w:pPr>
      <w:r>
        <w:rPr>
          <w:rFonts w:ascii="Times New Roman" w:hAnsi="Times New Roman" w:cs="Times New Roman" w:eastAsia="Times New Roman"/>
          <w:b/>
          <w:i w:val="0"/>
          <w:color w:val="000000"/>
          <w:sz w:val="22"/>
        </w:rPr>
        <w:t xml:space="preserve">8.3. Thời hạn khiếu nại: </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Về số lượng/bao bì: </w:t>
      </w:r>
      <w:r>
        <w:rPr>
          <w:rFonts w:ascii="Times New Roman" w:hAnsi="Times New Roman" w:cs="Times New Roman" w:eastAsia="Times New Roman"/>
          <w:b w:val="0"/>
          <w:i w:val="0"/>
          <w:color w:val="000000"/>
          <w:sz w:val="22"/>
        </w:rPr>
        <w:t>Trong vòng 14 ngày theo lịch kể từ ngày hoàn tất dỡ hàng.</w:t>
      </w:r>
    </w:p>
    <w:p>
      <w:pPr>
        <w:spacing w:before="10" w:after="30" w:line="269" w:lineRule="auto"/>
        <w:ind w:left="504"/>
        <w:jc w:val="both"/>
      </w:pPr>
      <w:r>
        <w:rPr>
          <w:rFonts w:ascii="Times New Roman" w:hAnsi="Times New Roman" w:cs="Times New Roman" w:eastAsia="Times New Roman"/>
          <w:b/>
          <w:i w:val="0"/>
          <w:color w:val="000000"/>
          <w:sz w:val="22"/>
        </w:rPr>
        <w:t xml:space="preserve">• </w:t>
      </w:r>
      <w:r>
        <w:rPr>
          <w:rFonts w:ascii="Times New Roman" w:hAnsi="Times New Roman" w:cs="Times New Roman" w:eastAsia="Times New Roman"/>
          <w:b/>
          <w:i w:val="0"/>
          <w:color w:val="000000"/>
          <w:sz w:val="22"/>
        </w:rPr>
        <w:t xml:space="preserve">Về phẩm chất bên trong: </w:t>
      </w:r>
      <w:r>
        <w:rPr>
          <w:rFonts w:ascii="Times New Roman" w:hAnsi="Times New Roman" w:cs="Times New Roman" w:eastAsia="Times New Roman"/>
          <w:b w:val="0"/>
          <w:i w:val="0"/>
          <w:color w:val="000000"/>
          <w:sz w:val="22"/>
        </w:rPr>
        <w:t>Trong vòng 30 ngày theo lịch kể từ ngày hoàn tất dỡ hàng, kèm theo Biên bản giám định của Vinacontrol.</w:t>
      </w:r>
    </w:p>
    <w:p>
      <w:pPr>
        <w:keepNext/>
        <w:spacing w:before="120" w:after="40" w:line="269" w:lineRule="auto"/>
        <w:jc w:val="left"/>
      </w:pPr>
      <w:r>
        <w:rPr>
          <w:rFonts w:ascii="Times New Roman" w:hAnsi="Times New Roman" w:cs="Times New Roman" w:eastAsia="Times New Roman"/>
          <w:b/>
          <w:i w:val="0"/>
          <w:color w:val="0F2240"/>
          <w:sz w:val="23"/>
        </w:rPr>
        <w:t>ĐIỀU 9: SỰ KIỆN BẤT KHẢ KHÁNG</w:t>
      </w:r>
    </w:p>
    <w:p>
      <w:pPr>
        <w:spacing w:before="10" w:after="30" w:line="269" w:lineRule="auto"/>
        <w:ind w:left="360"/>
        <w:jc w:val="both"/>
      </w:pPr>
      <w:r>
        <w:rPr>
          <w:rFonts w:ascii="Times New Roman" w:hAnsi="Times New Roman" w:cs="Times New Roman" w:eastAsia="Times New Roman"/>
          <w:b/>
          <w:i w:val="0"/>
          <w:color w:val="000000"/>
          <w:sz w:val="22"/>
        </w:rPr>
        <w:t xml:space="preserve">9.1. Định nghĩa &amp; Miễn trừ: </w:t>
      </w:r>
      <w:r>
        <w:rPr>
          <w:rFonts w:ascii="Times New Roman" w:hAnsi="Times New Roman" w:cs="Times New Roman" w:eastAsia="Times New Roman"/>
          <w:b w:val="0"/>
          <w:i w:val="0"/>
          <w:color w:val="000000"/>
          <w:sz w:val="22"/>
        </w:rPr>
        <w:t>Không bên nào phải chịu trách nhiệm do sự kiện Bất khả kháng theo định nghĩa của ICC Force Majeure Clause 2020 (thiên tai nghiêm trọng, bão lũ, động đất, phong tỏa, chiến tranh).</w:t>
      </w:r>
    </w:p>
    <w:p>
      <w:pPr>
        <w:spacing w:before="10" w:after="30" w:line="269" w:lineRule="auto"/>
        <w:ind w:left="360"/>
        <w:jc w:val="both"/>
      </w:pPr>
      <w:r>
        <w:rPr>
          <w:rFonts w:ascii="Times New Roman" w:hAnsi="Times New Roman" w:cs="Times New Roman" w:eastAsia="Times New Roman"/>
          <w:b/>
          <w:i w:val="0"/>
          <w:color w:val="000000"/>
          <w:sz w:val="22"/>
        </w:rPr>
        <w:t xml:space="preserve">9.2. Thủ tục thông báo: </w:t>
      </w:r>
      <w:r>
        <w:rPr>
          <w:rFonts w:ascii="Times New Roman" w:hAnsi="Times New Roman" w:cs="Times New Roman" w:eastAsia="Times New Roman"/>
          <w:b w:val="0"/>
          <w:i w:val="0"/>
          <w:color w:val="000000"/>
          <w:sz w:val="22"/>
        </w:rPr>
        <w:t>Bên bị ảnh hưởng phải thông báo bằng văn bản cho bên kia trong vòng 07 ngày kể từ khi xảy ra sự kiện kèm giấy xác nhận hợp lệ của cơ quan có thẩm quyền/Phòng Thương mại sở tại.</w:t>
      </w:r>
    </w:p>
    <w:p>
      <w:pPr>
        <w:keepNext/>
        <w:spacing w:before="120" w:after="40" w:line="269" w:lineRule="auto"/>
        <w:jc w:val="left"/>
      </w:pPr>
      <w:r>
        <w:rPr>
          <w:rFonts w:ascii="Times New Roman" w:hAnsi="Times New Roman" w:cs="Times New Roman" w:eastAsia="Times New Roman"/>
          <w:b/>
          <w:i w:val="0"/>
          <w:color w:val="0F2240"/>
          <w:sz w:val="23"/>
        </w:rPr>
        <w:t>ĐIỀU 10: LUẬT ÁP DỤNG VÀ GIẢI QUYẾT TRANH CHẤP</w:t>
      </w:r>
    </w:p>
    <w:p>
      <w:pPr>
        <w:spacing w:before="10" w:after="30" w:line="269" w:lineRule="auto"/>
        <w:ind w:left="360"/>
        <w:jc w:val="both"/>
      </w:pPr>
      <w:r>
        <w:rPr>
          <w:rFonts w:ascii="Times New Roman" w:hAnsi="Times New Roman" w:cs="Times New Roman" w:eastAsia="Times New Roman"/>
          <w:b/>
          <w:i w:val="0"/>
          <w:color w:val="000000"/>
          <w:sz w:val="22"/>
        </w:rPr>
        <w:t xml:space="preserve">10.1. Luật áp dụng: </w:t>
      </w:r>
      <w:r>
        <w:rPr>
          <w:rFonts w:ascii="Times New Roman" w:hAnsi="Times New Roman" w:cs="Times New Roman" w:eastAsia="Times New Roman"/>
          <w:b w:val="0"/>
          <w:i w:val="0"/>
          <w:color w:val="000000"/>
          <w:sz w:val="22"/>
        </w:rPr>
        <w:t>Công ước Liên Hợp Quốc về Hợp đồng Mua bán Hàng hóa Quốc tế (CISG 1980).</w:t>
      </w:r>
    </w:p>
    <w:p>
      <w:pPr>
        <w:spacing w:before="10" w:after="30" w:line="269" w:lineRule="auto"/>
        <w:ind w:left="360"/>
        <w:jc w:val="both"/>
      </w:pPr>
      <w:r>
        <w:rPr>
          <w:rFonts w:ascii="Times New Roman" w:hAnsi="Times New Roman" w:cs="Times New Roman" w:eastAsia="Times New Roman"/>
          <w:b/>
          <w:i w:val="0"/>
          <w:color w:val="000000"/>
          <w:sz w:val="22"/>
        </w:rPr>
        <w:t xml:space="preserve">10.2. Giải quyết tranh chấp: </w:t>
      </w:r>
      <w:r>
        <w:rPr>
          <w:rFonts w:ascii="Times New Roman" w:hAnsi="Times New Roman" w:cs="Times New Roman" w:eastAsia="Times New Roman"/>
          <w:b w:val="0"/>
          <w:i w:val="0"/>
          <w:color w:val="000000"/>
          <w:sz w:val="22"/>
        </w:rPr>
        <w:t>Mọi tranh chấp phát sinh từ hoặc liên quan đến Hợp đồng này sẽ được giải quyết chung thẩm và có giá trị ràng buộc tại Trung tâm Trọng tài Quốc tế Việt Nam (VIAC) tại Hà Nội, theo Quy tắc tố tụng trọng tài của VIAC. Hội đồng trọng tài gồm ba (03) trọng tài viên. Ngôn ngữ trọng tài là Tiếng Anh.</w:t>
      </w:r>
    </w:p>
    <w:p>
      <w:pPr>
        <w:keepNext/>
        <w:spacing w:before="120" w:after="40" w:line="269" w:lineRule="auto"/>
        <w:jc w:val="left"/>
      </w:pPr>
      <w:r>
        <w:rPr>
          <w:rFonts w:ascii="Times New Roman" w:hAnsi="Times New Roman" w:cs="Times New Roman" w:eastAsia="Times New Roman"/>
          <w:b/>
          <w:i w:val="0"/>
          <w:color w:val="0F2240"/>
          <w:sz w:val="23"/>
        </w:rPr>
        <w:t>ĐIỀU 11: ĐIỀU KHOẢN CHUNG VÀ HIỆU LỰC HỢP ĐỒNG</w:t>
      </w:r>
    </w:p>
    <w:p>
      <w:pPr>
        <w:spacing w:before="10" w:after="30" w:line="269" w:lineRule="auto"/>
        <w:ind w:left="360"/>
        <w:jc w:val="both"/>
      </w:pPr>
      <w:r>
        <w:rPr>
          <w:rFonts w:ascii="Times New Roman" w:hAnsi="Times New Roman" w:cs="Times New Roman" w:eastAsia="Times New Roman"/>
          <w:b/>
          <w:i w:val="0"/>
          <w:color w:val="000000"/>
          <w:sz w:val="22"/>
        </w:rPr>
        <w:t xml:space="preserve">11.1. Sửa đổi hợp đồng: </w:t>
      </w:r>
      <w:r>
        <w:rPr>
          <w:rFonts w:ascii="Times New Roman" w:hAnsi="Times New Roman" w:cs="Times New Roman" w:eastAsia="Times New Roman"/>
          <w:b w:val="0"/>
          <w:i w:val="0"/>
          <w:color w:val="000000"/>
          <w:sz w:val="22"/>
        </w:rPr>
        <w:t>Mọi sửa đổi, bổ sung phải được lập thành văn bản và có chữ ký xác nhận của đại diện có thẩm quyền của cả hai bên.</w:t>
      </w:r>
    </w:p>
    <w:p>
      <w:pPr>
        <w:spacing w:before="10" w:after="30" w:line="269" w:lineRule="auto"/>
        <w:ind w:left="360"/>
        <w:jc w:val="both"/>
      </w:pPr>
      <w:r>
        <w:rPr>
          <w:rFonts w:ascii="Times New Roman" w:hAnsi="Times New Roman" w:cs="Times New Roman" w:eastAsia="Times New Roman"/>
          <w:b/>
          <w:i w:val="0"/>
          <w:color w:val="000000"/>
          <w:sz w:val="22"/>
        </w:rPr>
        <w:t xml:space="preserve">11.2. Hiệu lực và số bản: </w:t>
      </w:r>
      <w:r>
        <w:rPr>
          <w:rFonts w:ascii="Times New Roman" w:hAnsi="Times New Roman" w:cs="Times New Roman" w:eastAsia="Times New Roman"/>
          <w:b w:val="0"/>
          <w:i w:val="0"/>
          <w:color w:val="000000"/>
          <w:sz w:val="22"/>
        </w:rPr>
        <w:t>Hợp đồng có hiệu lực kể từ ngày ký. Được lập thành bốn (04) bản gốc bằng tiếng Việt có giá trị pháp lý như nhau, mỗi bên giữ hai (02) bản để thực hiện.</w:t>
      </w:r>
    </w:p>
    <w:p>
      <w:pPr>
        <w:spacing w:before="100" w:after="160" w:line="269" w:lineRule="auto"/>
        <w:jc w:val="both"/>
      </w:pPr>
      <w:r>
        <w:rPr>
          <w:rFonts w:ascii="Times New Roman" w:hAnsi="Times New Roman" w:cs="Times New Roman" w:eastAsia="Times New Roman"/>
          <w:b w:val="0"/>
          <w:i/>
          <w:color w:val="000000"/>
          <w:sz w:val="22"/>
        </w:rPr>
        <w:t>ĐỂ LÀM BẰNG, người đại diện hợp pháp của hai bên đã ký tên và đóng dấu vào Hợp đồng này vào ngày được ghi ở phần đầu.</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02"/>
        <w:gridCol w:w="4802"/>
      </w:tblGrid>
      <w:tr>
        <w:tc>
          <w:tcPr>
            <w:tcW w:type="dxa" w:w="4752"/>
            <w:tcMar>
              <w:top w:w="30" w:type="dxa"/>
              <w:bottom w:w="30" w:type="dxa"/>
              <w:left w:w="60" w:type="dxa"/>
              <w:right w:w="60" w:type="dxa"/>
            </w:tcMar>
          </w:tcPr>
          <w:p>
            <w:pPr>
              <w:jc w:val="center"/>
            </w:pPr>
            <w:r>
              <w:rPr>
                <w:rFonts w:ascii="Times New Roman" w:hAnsi="Times New Roman" w:cs="Times New Roman" w:eastAsia="Times New Roman"/>
                <w:b/>
                <w:i w:val="0"/>
                <w:color w:val="0F2240"/>
                <w:sz w:val="21"/>
              </w:rPr>
              <w:t>ĐẠI DIỆN BÊN BÁN</w:t>
              <w:br/>
              <w:t>T&amp;G GLOBAL LIMITED</w:t>
            </w:r>
          </w:p>
        </w:tc>
        <w:tc>
          <w:tcPr>
            <w:tcW w:type="dxa" w:w="4752"/>
            <w:tcMar>
              <w:top w:w="30" w:type="dxa"/>
              <w:bottom w:w="30" w:type="dxa"/>
              <w:left w:w="60" w:type="dxa"/>
              <w:right w:w="60" w:type="dxa"/>
            </w:tcMar>
          </w:tcPr>
          <w:p>
            <w:pPr>
              <w:jc w:val="center"/>
            </w:pPr>
            <w:r>
              <w:rPr>
                <w:rFonts w:ascii="Times New Roman" w:hAnsi="Times New Roman" w:cs="Times New Roman" w:eastAsia="Times New Roman"/>
                <w:b/>
                <w:i w:val="0"/>
                <w:color w:val="0F2240"/>
                <w:sz w:val="21"/>
              </w:rPr>
              <w:t>ĐẠI DIỆN BÊN MUA</w:t>
              <w:br/>
              <w:t>CÔNG TY TNHH XNK NÔNG SẢN NHÓM 8</w:t>
            </w:r>
          </w:p>
        </w:tc>
      </w:tr>
      <w:tr>
        <w:tc>
          <w:tcPr>
            <w:tcW w:type="dxa" w:w="4752"/>
            <w:tcMar>
              <w:top w:w="30" w:type="dxa"/>
              <w:bottom w:w="30" w:type="dxa"/>
              <w:left w:w="60" w:type="dxa"/>
              <w:right w:w="60" w:type="dxa"/>
            </w:tcMar>
          </w:tcPr>
          <w:p>
            <w:pPr>
              <w:jc w:val="center"/>
            </w:pPr>
            <w:r>
              <w:rPr>
                <w:rFonts w:ascii="Times New Roman" w:hAnsi="Times New Roman" w:cs="Times New Roman" w:eastAsia="Times New Roman"/>
                <w:b w:val="0"/>
                <w:i/>
                <w:color w:val="000000"/>
                <w:sz w:val="19"/>
              </w:rPr>
              <w:t>(Ký tên và Đóng dấu)</w:t>
              <w:br/>
              <w:br/>
              <w:br/>
              <w:br/>
            </w:r>
          </w:p>
        </w:tc>
        <w:tc>
          <w:tcPr>
            <w:tcW w:type="dxa" w:w="4752"/>
            <w:tcMar>
              <w:top w:w="30" w:type="dxa"/>
              <w:bottom w:w="30" w:type="dxa"/>
              <w:left w:w="60" w:type="dxa"/>
              <w:right w:w="60" w:type="dxa"/>
            </w:tcMar>
          </w:tcPr>
          <w:p>
            <w:pPr>
              <w:jc w:val="center"/>
            </w:pPr>
            <w:r>
              <w:rPr>
                <w:rFonts w:ascii="Times New Roman" w:hAnsi="Times New Roman" w:cs="Times New Roman" w:eastAsia="Times New Roman"/>
                <w:b w:val="0"/>
                <w:i/>
                <w:color w:val="000000"/>
                <w:sz w:val="19"/>
              </w:rPr>
              <w:t>(Ký tên và Đóng dấu)</w:t>
              <w:br/>
              <w:br/>
              <w:br/>
              <w:br/>
            </w:r>
          </w:p>
        </w:tc>
      </w:tr>
      <w:tr>
        <w:tc>
          <w:tcPr>
            <w:tcW w:type="dxa" w:w="4752"/>
            <w:tcMar>
              <w:top w:w="30" w:type="dxa"/>
              <w:bottom w:w="30" w:type="dxa"/>
              <w:left w:w="60" w:type="dxa"/>
              <w:right w:w="60" w:type="dxa"/>
            </w:tcMar>
          </w:tcPr>
          <w:p>
            <w:pPr>
              <w:jc w:val="center"/>
            </w:pPr>
            <w:r>
              <w:rPr>
                <w:rFonts w:ascii="Times New Roman" w:hAnsi="Times New Roman" w:cs="Times New Roman" w:eastAsia="Times New Roman"/>
                <w:b/>
                <w:i w:val="0"/>
                <w:color w:val="000000"/>
                <w:sz w:val="21"/>
              </w:rPr>
              <w:t>ÔNG GARETH EDGECOMBE</w:t>
            </w:r>
          </w:p>
        </w:tc>
        <w:tc>
          <w:tcPr>
            <w:tcW w:type="dxa" w:w="4752"/>
            <w:tcMar>
              <w:top w:w="30" w:type="dxa"/>
              <w:bottom w:w="30" w:type="dxa"/>
              <w:left w:w="60" w:type="dxa"/>
              <w:right w:w="60" w:type="dxa"/>
            </w:tcMar>
          </w:tcPr>
          <w:p>
            <w:pPr>
              <w:jc w:val="center"/>
            </w:pPr>
            <w:r>
              <w:rPr>
                <w:rFonts w:ascii="Times New Roman" w:hAnsi="Times New Roman" w:cs="Times New Roman" w:eastAsia="Times New Roman"/>
                <w:b/>
                <w:i w:val="0"/>
                <w:color w:val="000000"/>
                <w:sz w:val="21"/>
              </w:rPr>
              <w:t>ÔNG NGUYỄN NGỌC PHÚ</w:t>
            </w:r>
          </w:p>
        </w:tc>
      </w:tr>
      <w:tr>
        <w:tc>
          <w:tcPr>
            <w:tcW w:type="dxa" w:w="4752"/>
            <w:tcMar>
              <w:top w:w="30" w:type="dxa"/>
              <w:bottom w:w="30" w:type="dxa"/>
              <w:left w:w="60" w:type="dxa"/>
              <w:right w:w="60" w:type="dxa"/>
            </w:tcMar>
          </w:tcPr>
          <w:p>
            <w:pPr>
              <w:jc w:val="center"/>
            </w:pPr>
            <w:r>
              <w:rPr>
                <w:rFonts w:ascii="Times New Roman" w:hAnsi="Times New Roman" w:cs="Times New Roman" w:eastAsia="Times New Roman"/>
                <w:b w:val="0"/>
                <w:i w:val="0"/>
                <w:color w:val="000000"/>
                <w:sz w:val="21"/>
              </w:rPr>
              <w:t>Tổng Giám đốc Điều hành (CEO)</w:t>
            </w:r>
          </w:p>
        </w:tc>
        <w:tc>
          <w:tcPr>
            <w:tcW w:type="dxa" w:w="4752"/>
            <w:tcMar>
              <w:top w:w="30" w:type="dxa"/>
              <w:bottom w:w="30" w:type="dxa"/>
              <w:left w:w="60" w:type="dxa"/>
              <w:right w:w="60" w:type="dxa"/>
            </w:tcMar>
          </w:tcPr>
          <w:p>
            <w:pPr>
              <w:jc w:val="center"/>
            </w:pPr>
            <w:r>
              <w:rPr>
                <w:rFonts w:ascii="Times New Roman" w:hAnsi="Times New Roman" w:cs="Times New Roman" w:eastAsia="Times New Roman"/>
                <w:b w:val="0"/>
                <w:i w:val="0"/>
                <w:color w:val="000000"/>
                <w:sz w:val="21"/>
              </w:rPr>
              <w:t>Tổng Giám đốc</w:t>
            </w:r>
          </w:p>
        </w:tc>
      </w:tr>
      <w:tr>
        <w:tc>
          <w:tcPr>
            <w:tcW w:type="dxa" w:w="4752"/>
            <w:tcMar>
              <w:top w:w="30" w:type="dxa"/>
              <w:bottom w:w="30" w:type="dxa"/>
              <w:left w:w="60" w:type="dxa"/>
              <w:right w:w="60" w:type="dxa"/>
            </w:tcMar>
          </w:tcPr>
          <w:p>
            <w:pPr>
              <w:jc w:val="center"/>
            </w:pPr>
            <w:r>
              <w:rPr>
                <w:rFonts w:ascii="Times New Roman" w:hAnsi="Times New Roman" w:cs="Times New Roman" w:eastAsia="Times New Roman"/>
                <w:b/>
                <w:i w:val="0"/>
                <w:color w:val="000000"/>
                <w:sz w:val="21"/>
              </w:rPr>
              <w:t>Ngày: 10/04/2026</w:t>
            </w:r>
          </w:p>
        </w:tc>
        <w:tc>
          <w:tcPr>
            <w:tcW w:type="dxa" w:w="4752"/>
            <w:tcMar>
              <w:top w:w="30" w:type="dxa"/>
              <w:bottom w:w="30" w:type="dxa"/>
              <w:left w:w="60" w:type="dxa"/>
              <w:right w:w="60" w:type="dxa"/>
            </w:tcMar>
          </w:tcPr>
          <w:p>
            <w:pPr>
              <w:jc w:val="center"/>
            </w:pPr>
            <w:r>
              <w:rPr>
                <w:rFonts w:ascii="Times New Roman" w:hAnsi="Times New Roman" w:cs="Times New Roman" w:eastAsia="Times New Roman"/>
                <w:b/>
                <w:i w:val="0"/>
                <w:color w:val="000000"/>
                <w:sz w:val="21"/>
              </w:rPr>
              <w:t>Ngày: 10/04/2026</w:t>
            </w:r>
          </w:p>
        </w:tc>
      </w:tr>
    </w:tbl>
    <w:sectPr w:rsidR="00FC693F" w:rsidRPr="0006063C" w:rsidSect="00034616">
      <w:headerReference w:type="default" r:id="rId9"/>
      <w:footerReference w:type="default" r:id="rId10"/>
      <w:pgSz w:w="11909" w:h="16834"/>
      <w:pgMar w:top="1008"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both"/>
      <w:pBdr>
        <w:top w:val="single" w:sz="4" w:space="2" w:color="D5D5D5"/>
      </w:pBdr>
      <w:tabs>
        <w:tab w:val="right" w:pos="9600"/>
      </w:tabs>
    </w:pPr>
    <w:r>
      <w:rPr>
        <w:rFonts w:ascii="Times New Roman" w:hAnsi="Times New Roman" w:cs="Times New Roman" w:eastAsia="Times New Roman"/>
        <w:b w:val="0"/>
        <w:i w:val="0"/>
        <w:color w:val="787878"/>
        <w:sz w:val="17"/>
      </w:rPr>
      <w:t>T&amp;G GLOBAL LIMITED — CÔNG TY TNHH XNK NÔNG SẢN NHÓM 8</w:t>
      <w:tab/>
    </w:r>
    <w:r>
      <w:rPr>
        <w:rFonts w:ascii="Times New Roman" w:hAnsi="Times New Roman" w:cs="Times New Roman" w:eastAsia="Times New Roman"/>
        <w:b w:val="0"/>
        <w:i w:val="0"/>
        <w:color w:val="787878"/>
        <w:sz w:val="17"/>
      </w:rPr>
      <w:t xml:space="preserve">Trang </w:t>
    </w:r>
    <w:r>
      <w:rPr>
        <w:rFonts w:ascii="Times New Roman" w:hAnsi="Times New Roman" w:cs="Times New Roman" w:eastAsia="Times New Roman"/>
        <w:b w:val="0"/>
        <w:i w:val="0"/>
        <w:color w:val="787878"/>
        <w:sz w:val="17"/>
      </w:rPr>
      <w:fldSimple w:instr="PAGE"/>
    </w:r>
    <w:r>
      <w:rPr>
        <w:rFonts w:ascii="Times New Roman" w:hAnsi="Times New Roman" w:cs="Times New Roman" w:eastAsia="Times New Roman"/>
        <w:b w:val="0"/>
        <w:i w:val="0"/>
        <w:color w:val="787878"/>
        <w:sz w:val="17"/>
      </w:rPr>
      <w:t xml:space="preserve"> / </w:t>
    </w:r>
    <w:r>
      <w:rPr>
        <w:rFonts w:ascii="Times New Roman" w:hAnsi="Times New Roman" w:cs="Times New Roman" w:eastAsia="Times New Roman"/>
        <w:b w:val="0"/>
        <w:i w:val="0"/>
        <w:color w:val="787878"/>
        <w:sz w:val="17"/>
      </w:rP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D5D5D5"/>
      </w:pBdr>
    </w:pPr>
    <w:r>
      <w:rPr>
        <w:rFonts w:ascii="Times New Roman" w:hAnsi="Times New Roman" w:cs="Times New Roman" w:eastAsia="Times New Roman"/>
        <w:b w:val="0"/>
        <w:i/>
        <w:color w:val="787878"/>
        <w:sz w:val="17"/>
      </w:rPr>
      <w:t>HỢP ĐỒNG MUA BÁN HÀNG HÓA QUỐC TẾ | SỐ: NZ-VN/2026/ENVY-01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