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100" w:before="0" w:line="280"/>
        <w:jc w:val="center"/>
      </w:pPr>
      <w:r>
        <w:rPr>
          <w:rFonts w:ascii="Times New Roman" w:cs="Times New Roman" w:eastAsia="Times New Roman" w:hAnsi="Times New Roman"/>
          <w:b/>
          <w:bCs/>
          <w:sz w:val="24"/>
          <w:szCs w:val="24"/>
        </w:rPr>
        <w:t xml:space="preserve">EXCELENTÍSSIMO(A) SENHOR(A) DOUTOR(A) JUIZ(A) DE DIREITO DO</w:t>
      </w:r>
    </w:p>
    <w:p>
      <w:pPr>
        <w:spacing w:after="100" w:before="0" w:line="280"/>
        <w:jc w:val="center"/>
      </w:pPr>
      <w:r>
        <w:rPr>
          <w:rFonts w:ascii="Times New Roman" w:cs="Times New Roman" w:eastAsia="Times New Roman" w:hAnsi="Times New Roman"/>
          <w:b/>
          <w:bCs/>
          <w:sz w:val="24"/>
          <w:szCs w:val="24"/>
        </w:rPr>
        <w:t xml:space="preserve">__________ JUIZADO/VARA DE VIOLÊNCIA DOMÉSTICA E FAMILIAR</w:t>
      </w:r>
    </w:p>
    <w:p>
      <w:pPr>
        <w:spacing w:after="200" w:before="0" w:line="280"/>
        <w:jc w:val="center"/>
      </w:pPr>
      <w:r>
        <w:rPr>
          <w:rFonts w:ascii="Times New Roman" w:cs="Times New Roman" w:eastAsia="Times New Roman" w:hAnsi="Times New Roman"/>
          <w:b/>
          <w:bCs/>
          <w:sz w:val="24"/>
          <w:szCs w:val="24"/>
        </w:rPr>
        <w:t xml:space="preserve">DA COMARCA DE __________/___</w:t>
      </w:r>
    </w:p>
    <w:p>
      <w:pPr>
        <w:spacing w:after="80" w:before="0" w:line="280"/>
        <w:jc w:val="left"/>
      </w:pPr>
      <w:r>
        <w:rPr>
          <w:rFonts w:ascii="Times New Roman" w:cs="Times New Roman" w:eastAsia="Times New Roman" w:hAnsi="Times New Roman"/>
          <w:sz w:val="24"/>
          <w:szCs w:val="24"/>
        </w:rPr>
        <w:t xml:space="preserve">Autos nº: ___________________________</w:t>
      </w:r>
    </w:p>
    <w:p>
      <w:pPr>
        <w:spacing w:after="240" w:before="0" w:line="280"/>
        <w:jc w:val="left"/>
      </w:pPr>
      <w:r>
        <w:rPr>
          <w:rFonts w:ascii="Times New Roman" w:cs="Times New Roman" w:eastAsia="Times New Roman" w:hAnsi="Times New Roman"/>
          <w:sz w:val="24"/>
          <w:szCs w:val="24"/>
        </w:rPr>
        <w:t xml:space="preserve">Requerente: _________________________ | Ofendida: _________________________</w:t>
      </w:r>
    </w:p>
    <w:p>
      <w:pPr>
        <w:spacing w:after="200" w:before="0" w:line="360"/>
        <w:ind/>
        <w:jc w:val="both"/>
      </w:pPr>
      <w:r>
        <w:rPr>
          <w:rFonts w:ascii="Times New Roman" w:cs="Times New Roman" w:eastAsia="Times New Roman" w:hAnsi="Times New Roman"/>
          <w:b w:val="false"/>
          <w:bCs w:val="false"/>
          <w:sz w:val="24"/>
          <w:szCs w:val="24"/>
        </w:rPr>
        <w:t xml:space="preserve">____________________________________________, [nacionalidade], [estado civil], [profissão], portador(a) do RG nº ____________ e CPF nº _______________, residente e domiciliado(a) na [endereço completo], CEP _______________, por meio de seu(sua) advogado(a) infra-assinado(a), com escritório profissional no endereço indicado neste timbrado, onde recebe intimações, vem, respeitosamente, perante Vossa Excelência, com fundamento no art. 282, § 5º, do Código de Processo Penal c/c art. 19, caput e §§ 1º, 2º e 6º, da Lei nº 11.340/2006, formular o presente</w:t>
      </w:r>
    </w:p>
    <w:p>
      <w:pPr>
        <w:spacing w:after="60" w:before="0"/>
      </w:pPr>
      <w:r>
        <w:t xml:space="preserve"/>
      </w:r>
    </w:p>
    <w:p>
      <w:pPr>
        <w:spacing w:after="260" w:before="360" w:line="280"/>
        <w:jc w:val="center"/>
      </w:pPr>
      <w:r>
        <w:rPr>
          <w:rFonts w:ascii="Times New Roman" w:cs="Times New Roman" w:eastAsia="Times New Roman" w:hAnsi="Times New Roman"/>
          <w:b/>
          <w:bCs/>
          <w:color w:val="1B3A6E"/>
          <w:sz w:val="28"/>
          <w:szCs w:val="28"/>
          <w:u w:val="single"/>
        </w:rPr>
        <w:t xml:space="preserve">PEDIDO DE REVOGAÇÃO DE MEDIDAS PROTETIVAS DE URGÊNCIA</w:t>
      </w:r>
    </w:p>
    <w:p>
      <w:pPr>
        <w:spacing w:after="200" w:before="0" w:line="360"/>
        <w:ind/>
        <w:jc w:val="both"/>
      </w:pPr>
      <w:r>
        <w:rPr>
          <w:rFonts w:ascii="Times New Roman" w:cs="Times New Roman" w:eastAsia="Times New Roman" w:hAnsi="Times New Roman"/>
          <w:b w:val="false"/>
          <w:bCs w:val="false"/>
          <w:sz w:val="24"/>
          <w:szCs w:val="24"/>
        </w:rPr>
        <w:t xml:space="preserve">pelos fatos e fundamentos jurídicos a seguir expostos.</w:t>
      </w:r>
    </w:p>
    <w:p>
      <w:pPr>
        <w:spacing w:after="80" w:before="0"/>
      </w:pPr>
      <w:r>
        <w:t xml:space="preserve"/>
      </w:r>
    </w:p>
    <w:p>
      <w:pPr>
        <w:pBdr>
          <w:bottom w:val="single" w:color="C8A951" w:sz="4" w:space="4"/>
        </w:pBdr>
        <w:spacing w:after="180" w:before="340" w:line="280"/>
        <w:jc w:val="center"/>
      </w:pPr>
      <w:r>
        <w:rPr>
          <w:rFonts w:ascii="Arial" w:cs="Arial" w:eastAsia="Arial" w:hAnsi="Arial"/>
          <w:b/>
          <w:bCs/>
          <w:color w:val="1B3A6E"/>
          <w:sz w:val="24"/>
          <w:szCs w:val="24"/>
        </w:rPr>
        <w:t xml:space="preserve">I – SÍNTESE DOS FATOS</w:t>
      </w:r>
    </w:p>
    <w:p>
      <w:pPr>
        <w:spacing w:after="200" w:before="0" w:line="360"/>
        <w:ind w:firstLine="709"/>
        <w:jc w:val="both"/>
      </w:pPr>
      <w:r>
        <w:rPr>
          <w:rFonts w:ascii="Times New Roman" w:cs="Times New Roman" w:eastAsia="Times New Roman" w:hAnsi="Times New Roman"/>
          <w:b w:val="false"/>
          <w:bCs w:val="false"/>
          <w:sz w:val="24"/>
          <w:szCs w:val="24"/>
        </w:rPr>
        <w:t xml:space="preserve">Depreende-se dos autos que, na data de ______________, foram deferidas medidas protetivas de urgência em desfavor do(a) Requerente, em benefício de ______________________, consistentes em:</w:t>
      </w:r>
    </w:p>
    <w:p>
      <w:pPr>
        <w:spacing w:after="40" w:before="0"/>
      </w:pPr>
      <w:r>
        <w:t xml:space="preserve"/>
      </w:r>
    </w:p>
    <w:p>
      <w:pPr>
        <w:spacing w:after="160" w:before="0" w:line="280"/>
        <w:ind/>
        <w:jc w:val="left"/>
      </w:pPr>
      <w:r>
        <w:rPr>
          <w:rFonts w:ascii="Times New Roman" w:cs="Times New Roman" w:eastAsia="Times New Roman" w:hAnsi="Times New Roman"/>
          <w:sz w:val="24"/>
          <w:szCs w:val="24"/>
        </w:rPr>
        <w:t xml:space="preserve">      (a)  afastamento do lar conjugal;</w:t>
      </w:r>
    </w:p>
    <w:p>
      <w:pPr>
        <w:spacing w:after="160" w:before="0" w:line="280"/>
        <w:ind/>
        <w:jc w:val="left"/>
      </w:pPr>
      <w:r>
        <w:rPr>
          <w:rFonts w:ascii="Times New Roman" w:cs="Times New Roman" w:eastAsia="Times New Roman" w:hAnsi="Times New Roman"/>
          <w:sz w:val="24"/>
          <w:szCs w:val="24"/>
        </w:rPr>
        <w:t xml:space="preserve">      (b)  proibição de aproximação da ofendida e seus familiares, no raio mínimo de _____ metros;</w:t>
      </w:r>
    </w:p>
    <w:p>
      <w:pPr>
        <w:spacing w:after="160" w:before="0" w:line="280"/>
        <w:ind/>
        <w:jc w:val="left"/>
      </w:pPr>
      <w:r>
        <w:rPr>
          <w:rFonts w:ascii="Times New Roman" w:cs="Times New Roman" w:eastAsia="Times New Roman" w:hAnsi="Times New Roman"/>
          <w:sz w:val="24"/>
          <w:szCs w:val="24"/>
        </w:rPr>
        <w:t xml:space="preserve">      (c)  vedação de qualquer forma de contato com a vítima, inclusive por meios eletrônicos;</w:t>
      </w:r>
    </w:p>
    <w:p>
      <w:pPr>
        <w:spacing w:after="160" w:before="0" w:line="280"/>
        <w:ind/>
        <w:jc w:val="left"/>
      </w:pPr>
      <w:r>
        <w:rPr>
          <w:rFonts w:ascii="Times New Roman" w:cs="Times New Roman" w:eastAsia="Times New Roman" w:hAnsi="Times New Roman"/>
          <w:sz w:val="24"/>
          <w:szCs w:val="24"/>
        </w:rPr>
        <w:t xml:space="preserve">      (d)  ________________________________________________ [outras medidas aplicáveis].</w:t>
      </w:r>
    </w:p>
    <w:p>
      <w:pPr>
        <w:spacing w:after="80" w:before="0"/>
      </w:pPr>
      <w:r>
        <w:t xml:space="preserve"/>
      </w:r>
    </w:p>
    <w:p>
      <w:pPr>
        <w:spacing w:after="200" w:before="0" w:line="360"/>
        <w:ind w:firstLine="709"/>
        <w:jc w:val="both"/>
      </w:pPr>
      <w:r>
        <w:rPr>
          <w:rFonts w:ascii="Times New Roman" w:cs="Times New Roman" w:eastAsia="Times New Roman" w:hAnsi="Times New Roman"/>
          <w:b w:val="false"/>
          <w:bCs w:val="false"/>
          <w:sz w:val="24"/>
          <w:szCs w:val="24"/>
        </w:rPr>
        <w:t xml:space="preserve">Desde então, transcorreram mais de ______________ sem que qualquer novo episódio de violência doméstica fosse registrado, sem que as partes tenham mantido qualquer contato e sem que houvesse notícia de descumprimento das restrições impostas. Não há, ademais, qualquer ação penal instaurada em face do(a) Requerente em decorrência dos fatos que originaram as medidas ora impugnadas.</w:t>
      </w:r>
    </w:p>
    <w:p>
      <w:pPr>
        <w:spacing w:after="200" w:before="0" w:line="360"/>
        <w:ind w:firstLine="709"/>
        <w:jc w:val="both"/>
      </w:pPr>
      <w:r>
        <w:rPr>
          <w:rFonts w:ascii="Times New Roman" w:cs="Times New Roman" w:eastAsia="Times New Roman" w:hAnsi="Times New Roman"/>
          <w:b w:val="false"/>
          <w:bCs w:val="false"/>
          <w:sz w:val="24"/>
          <w:szCs w:val="24"/>
        </w:rPr>
        <w:t xml:space="preserve">Diante desse cenário, os requisitos que autorizam a subsistência das medidas protetivas não mais se fazem presentes, razão pela qual a sua revogação é medida que se impõe de rigor, conforme se demonstrará a seguir.</w:t>
      </w:r>
    </w:p>
    <w:p>
      <w:pPr>
        <w:pBdr>
          <w:bottom w:val="single" w:color="C8A951" w:sz="4" w:space="4"/>
        </w:pBdr>
        <w:spacing w:after="180" w:before="340" w:line="280"/>
        <w:jc w:val="center"/>
      </w:pPr>
      <w:r>
        <w:rPr>
          <w:rFonts w:ascii="Arial" w:cs="Arial" w:eastAsia="Arial" w:hAnsi="Arial"/>
          <w:b/>
          <w:bCs/>
          <w:color w:val="1B3A6E"/>
          <w:sz w:val="24"/>
          <w:szCs w:val="24"/>
        </w:rPr>
        <w:t xml:space="preserve">II – DO DIREITO</w:t>
      </w:r>
    </w:p>
    <w:p>
      <w:pPr>
        <w:spacing w:after="140" w:before="280" w:line="280"/>
        <w:jc w:val="left"/>
      </w:pPr>
      <w:r>
        <w:rPr>
          <w:rFonts w:ascii="Arial" w:cs="Arial" w:eastAsia="Arial" w:hAnsi="Arial"/>
          <w:b/>
          <w:bCs/>
          <w:color w:val="1B3A6E"/>
          <w:sz w:val="24"/>
          <w:szCs w:val="24"/>
          <w:u w:val="single"/>
        </w:rPr>
        <w:t xml:space="preserve">II.1 – Da Natureza e dos Pressupostos das Medidas Protetivas de Urgência</w:t>
      </w:r>
    </w:p>
    <w:p>
      <w:pPr>
        <w:spacing w:after="200" w:before="0" w:line="360"/>
        <w:ind w:firstLine="709"/>
        <w:jc w:val="both"/>
      </w:pPr>
      <w:r>
        <w:rPr>
          <w:rFonts w:ascii="Times New Roman" w:cs="Times New Roman" w:eastAsia="Times New Roman" w:hAnsi="Times New Roman"/>
          <w:b w:val="false"/>
          <w:bCs w:val="false"/>
          <w:sz w:val="24"/>
          <w:szCs w:val="24"/>
        </w:rPr>
        <w:t xml:space="preserve">As medidas protetivas de urgência disciplinadas pela Lei nº 11.340/2006 têm por finalidade resguardar a integridade física, psicológica, sexual, patrimonial e moral da mulher em situação de violência doméstica. Trata-se de instrumento de tutela preventiva, cuja subsistência está condicionada à persistência do estado de risco que lhe deu origem — não constituindo, portanto, sanção definitiva ou irreversível.</w:t>
      </w:r>
    </w:p>
    <w:p>
      <w:pPr>
        <w:spacing w:after="200" w:before="0" w:line="360"/>
        <w:ind w:firstLine="709"/>
        <w:jc w:val="both"/>
      </w:pPr>
      <w:r>
        <w:rPr>
          <w:rFonts w:ascii="Times New Roman" w:cs="Times New Roman" w:eastAsia="Times New Roman" w:hAnsi="Times New Roman"/>
          <w:b w:val="false"/>
          <w:bCs w:val="false"/>
          <w:sz w:val="24"/>
          <w:szCs w:val="24"/>
        </w:rPr>
        <w:t xml:space="preserve">O § 6º do art. 19 da Lei nº 11.340/2006, incluído pela Lei nº 14.550/2023, é expresso ao estabelecer que as medidas protetivas de urgência "vigorarão enquanto persistir risco à integridade física, psicológica, sexual, patrimonial ou moral da ofendida ou de seus dependentes". Cessado o risco, cessa a justificativa para a restrição de direitos fundamentais do(a) Requerente.</w:t>
      </w:r>
    </w:p>
    <w:p>
      <w:pPr>
        <w:spacing w:after="200" w:before="0" w:line="360"/>
        <w:ind w:firstLine="709"/>
        <w:jc w:val="both"/>
      </w:pPr>
      <w:r>
        <w:rPr>
          <w:rFonts w:ascii="Times New Roman" w:cs="Times New Roman" w:eastAsia="Times New Roman" w:hAnsi="Times New Roman"/>
          <w:b w:val="false"/>
          <w:bCs w:val="false"/>
          <w:sz w:val="24"/>
          <w:szCs w:val="24"/>
        </w:rPr>
        <w:t xml:space="preserve">O Superior Tribunal de Justiça, ao julgar os REsps nºs 2.070.717, 2.070.857, 2.070.863 e 2.071.109 sob o rito dos recursos repetitivos (Tema nº 1.249), em sessão de 13 de novembro de 2024, fixou tese vinculante no sentido de que as medidas protetivas, conquanto não sujeitas a prazo predeterminado, devem ser reavaliadas pelo magistrado — de ofício ou a pedido do interessado — sempre que constatado o concreto esvaziamento da situação de risco, sendo a revogação sempre precedida de contraditório, com as oitivas da vítima e do suposto agressor.</w:t>
      </w:r>
    </w:p>
    <w:p>
      <w:pPr>
        <w:spacing w:after="140" w:before="280" w:line="280"/>
        <w:jc w:val="left"/>
      </w:pPr>
      <w:r>
        <w:rPr>
          <w:rFonts w:ascii="Arial" w:cs="Arial" w:eastAsia="Arial" w:hAnsi="Arial"/>
          <w:b/>
          <w:bCs/>
          <w:color w:val="1B3A6E"/>
          <w:sz w:val="24"/>
          <w:szCs w:val="24"/>
          <w:u w:val="single"/>
        </w:rPr>
        <w:t xml:space="preserve">II.2 – Da Ausência de Contemporaneidade e de Risco Atual</w:t>
      </w:r>
    </w:p>
    <w:p>
      <w:pPr>
        <w:spacing w:after="200" w:before="0" w:line="360"/>
        <w:ind w:firstLine="709"/>
        <w:jc w:val="both"/>
      </w:pPr>
      <w:r>
        <w:rPr>
          <w:rFonts w:ascii="Times New Roman" w:cs="Times New Roman" w:eastAsia="Times New Roman" w:hAnsi="Times New Roman"/>
          <w:b w:val="false"/>
          <w:bCs w:val="false"/>
          <w:sz w:val="24"/>
          <w:szCs w:val="24"/>
        </w:rPr>
        <w:t xml:space="preserve">O requisito da contemporaneidade — entendido como a exigência de que o perigo seja atual e concreto — constitui elemento essencial à subsistência das medidas protetivas. Medidas concedidas em razão de episódio pretérito não podem perdurar indefinidamente se não há evidência objetiva de que a situação de risco permanece presente.</w:t>
      </w:r>
    </w:p>
    <w:p>
      <w:pPr>
        <w:spacing w:after="200" w:before="0" w:line="360"/>
        <w:ind w:firstLine="709"/>
        <w:jc w:val="both"/>
      </w:pPr>
      <w:r>
        <w:rPr>
          <w:rFonts w:ascii="Times New Roman" w:cs="Times New Roman" w:eastAsia="Times New Roman" w:hAnsi="Times New Roman"/>
          <w:b w:val="false"/>
          <w:bCs w:val="false"/>
          <w:sz w:val="24"/>
          <w:szCs w:val="24"/>
        </w:rPr>
        <w:t xml:space="preserve">No caso em tela, as medidas foram deferidas há mais de ______________, sem que, nesse período, qualquer nova ocorrência policial, descumprimento ou ato de violência tenha sido noticiado. As partes não mantêm qualquer vínculo de convivência, e a dinâmica relacional que motivou a concessão das restrições encontra-se definitivamente encerrada, evidenciando de forma inequívoca a cessação do risco que as justificava.</w:t>
      </w:r>
    </w:p>
    <w:p>
      <w:pPr>
        <w:spacing w:after="200" w:before="0" w:line="360"/>
        <w:ind w:firstLine="709"/>
        <w:jc w:val="both"/>
      </w:pPr>
      <w:r>
        <w:rPr>
          <w:rFonts w:ascii="Times New Roman" w:cs="Times New Roman" w:eastAsia="Times New Roman" w:hAnsi="Times New Roman"/>
          <w:b w:val="false"/>
          <w:bCs w:val="false"/>
          <w:sz w:val="24"/>
          <w:szCs w:val="24"/>
        </w:rPr>
        <w:t xml:space="preserve">O Tribunal de Justiça do Distrito Federal e dos Territórios proclamou, com precisão:</w:t>
      </w:r>
    </w:p>
    <w:p>
      <w:pPr>
        <w:pBdr>
          <w:left w:val="single" w:color="C8A951" w:sz="12" w:space="6"/>
        </w:pBdr>
        <w:shd w:fill="F5F5F5" w:val="clear"/>
        <w:spacing w:after="160" w:before="160" w:line="300"/>
        <w:ind w:left="864" w:right="720"/>
        <w:jc w:val="both"/>
      </w:pPr>
      <w:r>
        <w:rPr>
          <w:rFonts w:ascii="Times New Roman" w:cs="Times New Roman" w:eastAsia="Times New Roman" w:hAnsi="Times New Roman"/>
          <w:i/>
          <w:iCs/>
          <w:color w:val="333333"/>
          <w:sz w:val="20"/>
          <w:szCs w:val="20"/>
        </w:rPr>
        <w:t xml:space="preserve">"1. Embora não haja consenso sobre a natureza das medidas protetivas de urgência (se cautelares penais ou tutelas inibitórias) e sobre a possibilidade de predeterminação de prazo de duração (Tema 1249/STJ), os julgados convergem no sentido de que, ainda que o Código de Processo Penal e a Lei Maria da Penha não fixem prazo para a vigência, a duração temporal das medidas de proteção deve ser pautada pelo princípio da razoabilidade, pois não é possível a eternização da restrição a direitos individuais. 2. As medidas protetivas da Lei nº 11.340/2006 devem vigorar enquanto persistirem os motivos que lhes deram origem. Tendo sido o agente absolvido da imputação que deu azo às medidas e não tendo sido elencados motivos concretos para justificar a mantença dos mecanismos de proteção, de rigor a sua revogação." (TJDFT – Acórdão 1903475, Proc. 0726680-72.2024.8.07.0000, Rel. Des. SANDOVAL OLIVEIRA, 3ª Turma Criminal, julgado em 08/08/2024, pub. DJe 19/08/2024)</w:t>
      </w:r>
    </w:p>
    <w:p>
      <w:pPr>
        <w:spacing w:after="200" w:before="0" w:line="360"/>
        <w:ind w:firstLine="709"/>
        <w:jc w:val="both"/>
      </w:pPr>
      <w:r>
        <w:rPr>
          <w:rFonts w:ascii="Times New Roman" w:cs="Times New Roman" w:eastAsia="Times New Roman" w:hAnsi="Times New Roman"/>
          <w:b w:val="false"/>
          <w:bCs w:val="false"/>
          <w:sz w:val="24"/>
          <w:szCs w:val="24"/>
        </w:rPr>
        <w:t xml:space="preserve">O Tribunal de Justiça de Minas Gerais reafirmou, igualmente, a imprescindibilidade do requisito da contemporaneidade para a manutenção das restrições:</w:t>
      </w:r>
    </w:p>
    <w:p>
      <w:pPr>
        <w:pBdr>
          <w:left w:val="single" w:color="C8A951" w:sz="12" w:space="6"/>
        </w:pBdr>
        <w:shd w:fill="F5F5F5" w:val="clear"/>
        <w:spacing w:after="160" w:before="160" w:line="300"/>
        <w:ind w:left="864" w:right="720"/>
        <w:jc w:val="both"/>
      </w:pPr>
      <w:r>
        <w:rPr>
          <w:rFonts w:ascii="Times New Roman" w:cs="Times New Roman" w:eastAsia="Times New Roman" w:hAnsi="Times New Roman"/>
          <w:i/>
          <w:iCs/>
          <w:color w:val="333333"/>
          <w:sz w:val="20"/>
          <w:szCs w:val="20"/>
        </w:rPr>
        <w:t xml:space="preserve">"Não merece alteração a decisão combatida, tendo em vista as peculiaridades do caso e a ausência do requisito da urgência/contemporaneidade. A Defensoria Pública não apontou no recurso uma nova conduta do recorrido que coloque em risco a integridade da ofendida." (TJMG – Des. Maria das Graças Rocha Santos, decisão de 2024 relativa a medidas protetivas vigentes de março a novembro de 2023 – noticiado pelo IBDFAM em 02/09/2024)</w:t>
      </w:r>
    </w:p>
    <w:p>
      <w:pPr>
        <w:spacing w:after="140" w:before="280" w:line="280"/>
        <w:jc w:val="left"/>
      </w:pPr>
      <w:r>
        <w:rPr>
          <w:rFonts w:ascii="Arial" w:cs="Arial" w:eastAsia="Arial" w:hAnsi="Arial"/>
          <w:b/>
          <w:bCs/>
          <w:color w:val="1B3A6E"/>
          <w:sz w:val="24"/>
          <w:szCs w:val="24"/>
          <w:u w:val="single"/>
        </w:rPr>
        <w:t xml:space="preserve">II.3 – Da Proporcionalidade e da Vedação à Perpetuação das Restrições</w:t>
      </w:r>
    </w:p>
    <w:p>
      <w:pPr>
        <w:spacing w:after="200" w:before="0" w:line="360"/>
        <w:ind w:firstLine="709"/>
        <w:jc w:val="both"/>
      </w:pPr>
      <w:r>
        <w:rPr>
          <w:rFonts w:ascii="Times New Roman" w:cs="Times New Roman" w:eastAsia="Times New Roman" w:hAnsi="Times New Roman"/>
          <w:b w:val="false"/>
          <w:bCs w:val="false"/>
          <w:sz w:val="24"/>
          <w:szCs w:val="24"/>
        </w:rPr>
        <w:t xml:space="preserve">As medidas protetivas de urgência implicam restrições a direitos fundamentais do(a) Requerente — liberdade de locomoção, inviolabilidade do domicílio e liberdade de comunicação. A manutenção dessas restrições para além do tempo estritamente necessário viola os princípios da proporcionalidade, da razoabilidade e da dignidade da pessoa humana, inscritos na Constituição Federal.</w:t>
      </w:r>
    </w:p>
    <w:p>
      <w:pPr>
        <w:spacing w:after="200" w:before="0" w:line="360"/>
        <w:ind w:firstLine="709"/>
        <w:jc w:val="both"/>
      </w:pPr>
      <w:r>
        <w:rPr>
          <w:rFonts w:ascii="Times New Roman" w:cs="Times New Roman" w:eastAsia="Times New Roman" w:hAnsi="Times New Roman"/>
          <w:b w:val="false"/>
          <w:bCs w:val="false"/>
          <w:sz w:val="24"/>
          <w:szCs w:val="24"/>
        </w:rPr>
        <w:t xml:space="preserve">O próprio STJ, ao firmar a tese do Tema nº 1.249, sinalizou que as medidas não podem "tender à perpetuidade" e que devem ser reavaliadas "quando constatado concretamente o esvaziamento da situação de risco". O TJDFT reforçou esse entendimento:</w:t>
      </w:r>
    </w:p>
    <w:p>
      <w:pPr>
        <w:pBdr>
          <w:left w:val="single" w:color="C8A951" w:sz="12" w:space="6"/>
        </w:pBdr>
        <w:shd w:fill="F5F5F5" w:val="clear"/>
        <w:spacing w:after="160" w:before="160" w:line="300"/>
        <w:ind w:left="864" w:right="720"/>
        <w:jc w:val="both"/>
      </w:pPr>
      <w:r>
        <w:rPr>
          <w:rFonts w:ascii="Times New Roman" w:cs="Times New Roman" w:eastAsia="Times New Roman" w:hAnsi="Times New Roman"/>
          <w:i/>
          <w:iCs/>
          <w:color w:val="333333"/>
          <w:sz w:val="20"/>
          <w:szCs w:val="20"/>
        </w:rPr>
        <w:t xml:space="preserve">"Conquanto não haja previsão na Lei Maria da Penha de um prazo específico para vigência das medidas protetivas de urgência, sabe-se que elas possuem caráter excepcional e que devem viger enquanto perdurar a situação de risco contra a mulher, conforme nova redação do art. 19, § 6º, da Lei nº 11.340/2006. A interpretação teleológica que mais se amolda é no sentido de ser por prazo indeterminado, até que efetivamente cessem os riscos potenciais contra a integridade da vítima." (TJDFT – Acórdão 1953277, Proc. 0748285-74.2024.8.07.0000, Rel. Des. NILSONI DE FREITAS CUSTODIO, 3ª Turma Criminal, julgado em 12/12/2024, pub. DJe 18/12/2024)</w:t>
      </w:r>
    </w:p>
    <w:p>
      <w:pPr>
        <w:spacing w:after="200" w:before="0" w:line="360"/>
        <w:ind w:firstLine="709"/>
        <w:jc w:val="both"/>
      </w:pPr>
      <w:r>
        <w:rPr>
          <w:rFonts w:ascii="Times New Roman" w:cs="Times New Roman" w:eastAsia="Times New Roman" w:hAnsi="Times New Roman"/>
          <w:b w:val="false"/>
          <w:bCs w:val="false"/>
          <w:sz w:val="24"/>
          <w:szCs w:val="24"/>
        </w:rPr>
        <w:t xml:space="preserve">Ausente a situação de risco, a manutenção das medidas converte-se em restrição desproporcional, sem qualquer correspondência com a finalidade protetiva que as legitima.</w:t>
      </w:r>
    </w:p>
    <w:p>
      <w:pPr>
        <w:spacing w:after="140" w:before="280" w:line="280"/>
        <w:jc w:val="left"/>
      </w:pPr>
      <w:r>
        <w:rPr>
          <w:rFonts w:ascii="Arial" w:cs="Arial" w:eastAsia="Arial" w:hAnsi="Arial"/>
          <w:b/>
          <w:bCs/>
          <w:color w:val="1B3A6E"/>
          <w:sz w:val="24"/>
          <w:szCs w:val="24"/>
          <w:u w:val="single"/>
        </w:rPr>
        <w:t xml:space="preserve">II.4 – Da Não Incidência da Lei Maria da Penha ao Caso Concreto [se aplicável]</w:t>
      </w:r>
    </w:p>
    <w:p>
      <w:pPr>
        <w:spacing w:after="200" w:before="0" w:line="360"/>
        <w:ind w:firstLine="709"/>
        <w:jc w:val="both"/>
      </w:pPr>
      <w:r>
        <w:rPr>
          <w:rFonts w:ascii="Times New Roman" w:cs="Times New Roman" w:eastAsia="Times New Roman" w:hAnsi="Times New Roman"/>
          <w:b w:val="false"/>
          <w:bCs w:val="false"/>
          <w:sz w:val="24"/>
          <w:szCs w:val="24"/>
        </w:rPr>
        <w:t xml:space="preserve">Subsidiariamente, consigne-se que os fatos narrados não se amoldam às hipóteses de incidência da Lei nº 11.340/2006, porquanto ausente o requisito da motivação de gênero, indispensável à configuração da violência doméstica nos termos da legislação especial.</w:t>
      </w:r>
    </w:p>
    <w:p>
      <w:pPr>
        <w:spacing w:after="200" w:before="0" w:line="360"/>
        <w:ind w:firstLine="709"/>
        <w:jc w:val="both"/>
      </w:pPr>
      <w:r>
        <w:rPr>
          <w:rFonts w:ascii="Times New Roman" w:cs="Times New Roman" w:eastAsia="Times New Roman" w:hAnsi="Times New Roman"/>
          <w:b w:val="false"/>
          <w:bCs w:val="false"/>
          <w:sz w:val="24"/>
          <w:szCs w:val="24"/>
        </w:rPr>
        <w:t xml:space="preserve">A jurisprudência do STJ é firme ao exigir, para a aplicação da Lei Maria da Penha, não apenas o vínculo doméstico, familiar ou afetivo, mas também a demonstração de que a agressão foi motivada pela condição de gênero da vítima, em contexto de vulnerabilidade ou hipossuficiência:</w:t>
      </w:r>
    </w:p>
    <w:p>
      <w:pPr>
        <w:pBdr>
          <w:left w:val="single" w:color="C8A951" w:sz="12" w:space="6"/>
        </w:pBdr>
        <w:shd w:fill="F5F5F5" w:val="clear"/>
        <w:spacing w:after="160" w:before="160" w:line="300"/>
        <w:ind w:left="864" w:right="720"/>
        <w:jc w:val="both"/>
      </w:pPr>
      <w:r>
        <w:rPr>
          <w:rFonts w:ascii="Times New Roman" w:cs="Times New Roman" w:eastAsia="Times New Roman" w:hAnsi="Times New Roman"/>
          <w:i/>
          <w:iCs/>
          <w:color w:val="333333"/>
          <w:sz w:val="20"/>
          <w:szCs w:val="20"/>
        </w:rPr>
        <w:t xml:space="preserve">"A relação de parentesco entre ofensora e vítima, por si só, não justifica a incidência da Lei Maria da Penha, sendo necessário demonstrar que a agressão foi motivada pelo gênero da vítima, em situação de vulnerabilidade ou hipossuficiência no âmbito das relações domésticas e familiares. No caso concreto, não foram encontrados indícios de vulnerabilidade ou subordinação da vítima em relação à ofensora." (STJ – AgRg no REsp nº 2.080.317/GO, Rel. Min. Joel Ilan Paciornik, 5ª Turma, julgado em 04/03/2024, DJe 06/03/2024)</w:t>
      </w:r>
    </w:p>
    <w:p>
      <w:pPr>
        <w:pBdr>
          <w:left w:val="single" w:color="C8A951" w:sz="12" w:space="6"/>
        </w:pBdr>
        <w:shd w:fill="F5F5F5" w:val="clear"/>
        <w:spacing w:after="160" w:before="160" w:line="300"/>
        <w:ind w:left="864" w:right="720"/>
        <w:jc w:val="both"/>
      </w:pPr>
      <w:r>
        <w:rPr>
          <w:rFonts w:ascii="Times New Roman" w:cs="Times New Roman" w:eastAsia="Times New Roman" w:hAnsi="Times New Roman"/>
          <w:i/>
          <w:iCs/>
          <w:color w:val="333333"/>
          <w:sz w:val="20"/>
          <w:szCs w:val="20"/>
        </w:rPr>
        <w:t xml:space="preserve">"A Lei Maria da Penha não abrange toda e qualquer violência doméstica ou familiar contra a mulher, mas apenas aquela baseada na relação de gênero, isto é, atos de agressão motivados por convicções culturais de subordinação da mulher. Na hipótese, os fatos não revelam contexto de violação de gênero." (TJDFT – Acórdão 1934737, Proc. 0736526-16.2024.8.07.0000, Rel. Des. SANDOVAL OLIVEIRA, Câmara Criminal, julgado em 16/10/2024, pub. DJe 28/10/2024)</w:t>
      </w:r>
    </w:p>
    <w:p>
      <w:pPr>
        <w:spacing w:after="200" w:before="0" w:line="360"/>
        <w:ind w:firstLine="709"/>
        <w:jc w:val="both"/>
      </w:pPr>
      <w:r>
        <w:rPr>
          <w:rFonts w:ascii="Times New Roman" w:cs="Times New Roman" w:eastAsia="Times New Roman" w:hAnsi="Times New Roman"/>
          <w:b w:val="false"/>
          <w:bCs w:val="false"/>
          <w:sz w:val="24"/>
          <w:szCs w:val="24"/>
        </w:rPr>
        <w:t xml:space="preserve">Inaplicável a Lei Maria da Penha ao caso, insubsistentes as medidas protetivas que nela se fundamentam, devendo ser imediatamente revogadas.</w:t>
      </w:r>
    </w:p>
    <w:p>
      <w:pPr>
        <w:spacing w:after="140" w:before="280" w:line="280"/>
        <w:jc w:val="left"/>
      </w:pPr>
      <w:r>
        <w:rPr>
          <w:rFonts w:ascii="Arial" w:cs="Arial" w:eastAsia="Arial" w:hAnsi="Arial"/>
          <w:b/>
          <w:bCs/>
          <w:color w:val="1B3A6E"/>
          <w:sz w:val="24"/>
          <w:szCs w:val="24"/>
          <w:u w:val="single"/>
        </w:rPr>
        <w:t xml:space="preserve">II.5 – Da Ausência de Elementos Probatórios que Justifiquem a Manutenção</w:t>
      </w:r>
    </w:p>
    <w:p>
      <w:pPr>
        <w:spacing w:after="200" w:before="0" w:line="360"/>
        <w:ind w:firstLine="709"/>
        <w:jc w:val="both"/>
      </w:pPr>
      <w:r>
        <w:rPr>
          <w:rFonts w:ascii="Times New Roman" w:cs="Times New Roman" w:eastAsia="Times New Roman" w:hAnsi="Times New Roman"/>
          <w:b w:val="false"/>
          <w:bCs w:val="false"/>
          <w:sz w:val="24"/>
          <w:szCs w:val="24"/>
        </w:rPr>
        <w:t xml:space="preserve">As medidas protetivas de urgência, ainda que concedidas em juízo de cognição sumária, não prescindem de elementos mínimos que indiquem a persistência do risco. No atual estágio dos autos, verifica-se que as únicas referências ao suposto perigo decorrem do relato inicial da ofendida, sem corroboração por prova objetiva e sem que novos fatos tenham ocorrido desde a concessão das medidas.</w:t>
      </w:r>
    </w:p>
    <w:p>
      <w:pPr>
        <w:spacing w:after="200" w:before="0" w:line="360"/>
        <w:ind w:firstLine="709"/>
        <w:jc w:val="both"/>
      </w:pPr>
      <w:r>
        <w:rPr>
          <w:rFonts w:ascii="Times New Roman" w:cs="Times New Roman" w:eastAsia="Times New Roman" w:hAnsi="Times New Roman"/>
          <w:b w:val="false"/>
          <w:bCs w:val="false"/>
          <w:sz w:val="24"/>
          <w:szCs w:val="24"/>
        </w:rPr>
        <w:t xml:space="preserve">O STF há muito assentou, em julgamento paradigmático do Min. Celso de Mello:</w:t>
      </w:r>
    </w:p>
    <w:p>
      <w:pPr>
        <w:pBdr>
          <w:left w:val="single" w:color="C8A951" w:sz="12" w:space="6"/>
        </w:pBdr>
        <w:shd w:fill="F5F5F5" w:val="clear"/>
        <w:spacing w:after="160" w:before="160" w:line="300"/>
        <w:ind w:left="864" w:right="720"/>
        <w:jc w:val="both"/>
      </w:pPr>
      <w:r>
        <w:rPr>
          <w:rFonts w:ascii="Times New Roman" w:cs="Times New Roman" w:eastAsia="Times New Roman" w:hAnsi="Times New Roman"/>
          <w:i/>
          <w:iCs/>
          <w:color w:val="333333"/>
          <w:sz w:val="20"/>
          <w:szCs w:val="20"/>
        </w:rPr>
        <w:t xml:space="preserve">"Nenhuma acusação penal se presume provada. Não compete ao réu demonstrar a sua inocência. Cabe, ao contrário, ao Ministério Público comprovar, de forma inequívoca, para além de qualquer dúvida razoável, a culpabilidade do acusado [...] Já não mais prevalecem em nosso sistema de direito positivo a regra que, em dado momento histórico do processo político brasileiro, criou, para o réu, a obrigação de provar a sua própria inocência." (STF – HC 83.947/AM, Rel. Min. Celso de Mello)</w:t>
      </w:r>
    </w:p>
    <w:p>
      <w:pPr>
        <w:spacing w:after="200" w:before="0" w:line="360"/>
        <w:ind w:firstLine="709"/>
        <w:jc w:val="both"/>
      </w:pPr>
      <w:r>
        <w:rPr>
          <w:rFonts w:ascii="Times New Roman" w:cs="Times New Roman" w:eastAsia="Times New Roman" w:hAnsi="Times New Roman"/>
          <w:b w:val="false"/>
          <w:bCs w:val="false"/>
          <w:sz w:val="24"/>
          <w:szCs w:val="24"/>
        </w:rPr>
        <w:t xml:space="preserve">Com maior razão, a manutenção de medidas restritivas de direitos fundamentais não pode sustentar-se exclusivamente em declarações não corroboradas, sem que qualquer elemento novo reforce o risco alegado. A ausência de provas da persistência do perigo, aliada ao extenso período de convivência pacífica entre as partes, impõe a revogação das medidas como única solução jurídica compatível com o Estado Democrático de Direito.</w:t>
      </w:r>
    </w:p>
    <w:p>
      <w:pPr>
        <w:pBdr>
          <w:bottom w:val="single" w:color="C8A951" w:sz="4" w:space="4"/>
        </w:pBdr>
        <w:spacing w:after="180" w:before="340" w:line="280"/>
        <w:jc w:val="center"/>
      </w:pPr>
      <w:r>
        <w:rPr>
          <w:rFonts w:ascii="Arial" w:cs="Arial" w:eastAsia="Arial" w:hAnsi="Arial"/>
          <w:b/>
          <w:bCs/>
          <w:color w:val="1B3A6E"/>
          <w:sz w:val="24"/>
          <w:szCs w:val="24"/>
        </w:rPr>
        <w:t xml:space="preserve">III – DOS PEDIDOS</w:t>
      </w:r>
    </w:p>
    <w:p>
      <w:pPr>
        <w:spacing w:after="200" w:before="0" w:line="360"/>
        <w:ind/>
        <w:jc w:val="both"/>
      </w:pPr>
      <w:r>
        <w:rPr>
          <w:rFonts w:ascii="Times New Roman" w:cs="Times New Roman" w:eastAsia="Times New Roman" w:hAnsi="Times New Roman"/>
          <w:b w:val="false"/>
          <w:bCs w:val="false"/>
          <w:sz w:val="24"/>
          <w:szCs w:val="24"/>
        </w:rPr>
        <w:t xml:space="preserve">Diante de todo o exposto, requer o(a) Requerente que Vossa Excelência se digne a:</w:t>
      </w:r>
    </w:p>
    <w:p>
      <w:pPr>
        <w:spacing w:after="60" w:before="0"/>
      </w:pPr>
      <w:r>
        <w:t xml:space="preserve"/>
      </w:r>
    </w:p>
    <w:p>
      <w:pPr>
        <w:spacing w:after="200" w:before="0" w:line="360"/>
        <w:ind/>
        <w:jc w:val="both"/>
      </w:pPr>
      <w:r>
        <w:rPr>
          <w:rFonts w:ascii="Times New Roman" w:cs="Times New Roman" w:eastAsia="Times New Roman" w:hAnsi="Times New Roman"/>
          <w:b w:val="false"/>
          <w:bCs w:val="false"/>
          <w:sz w:val="24"/>
          <w:szCs w:val="24"/>
        </w:rPr>
        <w:t xml:space="preserve">a)  Determinar a PRÉVIA OITIVA da ofendida, a fim de aferir se persiste a situação de risco que fundamentou a concessão das medidas protetivas, em cumprimento à tese vinculante fixada pelo STJ no Tema Repetitivo nº 1.249 (REsp 2.070.717/MG e outros, julgados em 13/11/2024);</w:t>
      </w:r>
    </w:p>
    <w:p>
      <w:pPr>
        <w:spacing w:after="60" w:before="0"/>
      </w:pPr>
      <w:r>
        <w:t xml:space="preserve"/>
      </w:r>
    </w:p>
    <w:p>
      <w:pPr>
        <w:spacing w:after="200" w:before="0" w:line="360"/>
        <w:ind/>
        <w:jc w:val="both"/>
      </w:pPr>
      <w:r>
        <w:rPr>
          <w:rFonts w:ascii="Times New Roman" w:cs="Times New Roman" w:eastAsia="Times New Roman" w:hAnsi="Times New Roman"/>
          <w:b w:val="false"/>
          <w:bCs w:val="false"/>
          <w:sz w:val="24"/>
          <w:szCs w:val="24"/>
        </w:rPr>
        <w:t xml:space="preserve">b)  Após a oitiva, REVOGAR INTEGRALMENTE as medidas protetivas de urgência impostas ao(à) Requerente, diante da ausência de contemporaneidade, da inexistência de risco atual e concreto e da falta de elementos que justifiquem a perpetuação das restrições;</w:t>
      </w:r>
    </w:p>
    <w:p>
      <w:pPr>
        <w:spacing w:after="60" w:before="0"/>
      </w:pPr>
      <w:r>
        <w:t xml:space="preserve"/>
      </w:r>
    </w:p>
    <w:p>
      <w:pPr>
        <w:spacing w:after="200" w:before="0" w:line="360"/>
        <w:ind/>
        <w:jc w:val="both"/>
      </w:pPr>
      <w:r>
        <w:rPr>
          <w:rFonts w:ascii="Times New Roman" w:cs="Times New Roman" w:eastAsia="Times New Roman" w:hAnsi="Times New Roman"/>
          <w:b w:val="false"/>
          <w:bCs w:val="false"/>
          <w:sz w:val="24"/>
          <w:szCs w:val="24"/>
        </w:rPr>
        <w:t xml:space="preserve">c)  Alternativamente, caso Vossa Excelência entenda pela manutenção parcial das medidas, requer-se a REVISÃO E FLEXIBILIZAÇÃO das restrições vigentes, adequando-as à realidade fática atual e fixando prazo determinado para reavaliação periódica;</w:t>
      </w:r>
    </w:p>
    <w:p>
      <w:pPr>
        <w:spacing w:after="60" w:before="0"/>
      </w:pPr>
      <w:r>
        <w:t xml:space="preserve"/>
      </w:r>
    </w:p>
    <w:p>
      <w:pPr>
        <w:spacing w:after="200" w:before="0" w:line="360"/>
        <w:ind/>
        <w:jc w:val="both"/>
      </w:pPr>
      <w:r>
        <w:rPr>
          <w:rFonts w:ascii="Times New Roman" w:cs="Times New Roman" w:eastAsia="Times New Roman" w:hAnsi="Times New Roman"/>
          <w:b w:val="false"/>
          <w:bCs w:val="false"/>
          <w:sz w:val="24"/>
          <w:szCs w:val="24"/>
        </w:rPr>
        <w:t xml:space="preserve">d)  A intimação do Ministério Público para manifestação sobre o presente pedido, nos termos do art. 19, § 1º, da Lei nº 11.340/2006.</w:t>
      </w:r>
    </w:p>
    <w:p>
      <w:pPr>
        <w:spacing w:after="100" w:before="0"/>
      </w:pPr>
      <w:r>
        <w:t xml:space="preserve"/>
      </w:r>
    </w:p>
    <w:p>
      <w:pPr>
        <w:spacing w:after="200" w:before="0" w:line="360"/>
        <w:ind/>
        <w:jc w:val="both"/>
      </w:pPr>
      <w:r>
        <w:rPr>
          <w:rFonts w:ascii="Times New Roman" w:cs="Times New Roman" w:eastAsia="Times New Roman" w:hAnsi="Times New Roman"/>
          <w:b w:val="false"/>
          <w:bCs w:val="false"/>
          <w:sz w:val="24"/>
          <w:szCs w:val="24"/>
        </w:rPr>
        <w:t xml:space="preserve">Nestes termos,</w:t>
      </w:r>
    </w:p>
    <w:p>
      <w:pPr>
        <w:spacing w:after="200" w:before="0" w:line="360"/>
        <w:ind/>
        <w:jc w:val="both"/>
      </w:pPr>
      <w:r>
        <w:rPr>
          <w:rFonts w:ascii="Times New Roman" w:cs="Times New Roman" w:eastAsia="Times New Roman" w:hAnsi="Times New Roman"/>
          <w:b w:val="false"/>
          <w:bCs w:val="false"/>
          <w:sz w:val="24"/>
          <w:szCs w:val="24"/>
        </w:rPr>
        <w:t xml:space="preserve">Pede deferimento.</w:t>
      </w:r>
    </w:p>
    <w:p>
      <w:pPr>
        <w:spacing w:after="60" w:before="0"/>
      </w:pPr>
      <w:r>
        <w:t xml:space="preserve"/>
      </w:r>
    </w:p>
    <w:p>
      <w:pPr>
        <w:spacing w:after="80" w:before="400" w:line="280"/>
        <w:jc w:val="right"/>
      </w:pPr>
      <w:r>
        <w:rPr>
          <w:rFonts w:ascii="Times New Roman" w:cs="Times New Roman" w:eastAsia="Times New Roman" w:hAnsi="Times New Roman"/>
          <w:sz w:val="24"/>
          <w:szCs w:val="24"/>
        </w:rPr>
        <w:t xml:space="preserve">__________, ___ de ____________ de 20___.</w:t>
      </w:r>
    </w:p>
    <w:p>
      <w:pPr>
        <w:spacing w:after="60" w:before="0"/>
      </w:pPr>
      <w:r>
        <w:t xml:space="preserve"/>
      </w:r>
    </w:p>
    <w:p>
      <w:pPr>
        <w:pBdr>
          <w:top w:val="single" w:color="000000" w:sz="6" w:space="1"/>
        </w:pBdr>
        <w:spacing w:after="60" w:before="600" w:line="240"/>
        <w:jc w:val="center"/>
      </w:pPr>
      <w:r>
        <w:rPr>
          <w:rFonts w:ascii="Times New Roman" w:cs="Times New Roman" w:eastAsia="Times New Roman" w:hAnsi="Times New Roman"/>
          <w:b/>
          <w:bCs/>
          <w:sz w:val="24"/>
          <w:szCs w:val="24"/>
        </w:rPr>
        <w:t xml:space="preserve">Dr(a). Nome Completo do Advogado(a)</w:t>
      </w:r>
    </w:p>
    <w:p>
      <w:pPr>
        <w:spacing w:after="60" w:before="0" w:line="240"/>
        <w:jc w:val="center"/>
      </w:pPr>
      <w:r>
        <w:rPr>
          <w:rFonts w:ascii="Times New Roman" w:cs="Times New Roman" w:eastAsia="Times New Roman" w:hAnsi="Times New Roman"/>
          <w:sz w:val="24"/>
          <w:szCs w:val="24"/>
        </w:rPr>
        <w:t xml:space="preserve">OAB/XX nº XXXXX</w:t>
      </w:r>
    </w:p>
    <w:p>
      <w:pPr>
        <w:spacing w:after="0" w:before="0" w:line="240"/>
        <w:jc w:val="center"/>
      </w:pPr>
      <w:r>
        <w:rPr>
          <w:rFonts w:ascii="Times New Roman" w:cs="Times New Roman" w:eastAsia="Times New Roman" w:hAnsi="Times New Roman"/>
          <w:color w:val="555555"/>
          <w:sz w:val="22"/>
          <w:szCs w:val="22"/>
        </w:rPr>
        <w:t xml:space="preserve">contato@escritorio.adv.br</w:t>
      </w:r>
    </w:p>
    <w:sectPr>
      <w:headerReference w:type="default" r:id="rId7"/>
      <w:footerReference w:type="default" r:id="rId8"/>
      <w:pgSz w:w="11906" w:h="16838" w:orient="portrait"/>
      <w:pgMar w:top="1560" w:right="1134" w:bottom="1560" w:left="1701"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E" w:sz="8" w:space="0"/>
      </w:pBdr>
      <w:spacing w:after="60" w:before="0"/>
    </w:pPr>
    <w: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7000"/>
      <w:gridCol w:w="2638"/>
    </w:tblGrid>
    <w:tr>
      <w:tc>
        <w:tcPr>
          <w:tcW w:type="dxa" w:w="7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0" w:line="240"/>
          </w:pPr>
          <w:r>
            <w:rPr>
              <w:rFonts w:ascii="Arial" w:cs="Arial" w:eastAsia="Arial" w:hAnsi="Arial"/>
              <w:color w:val="666666"/>
              <w:sz w:val="14"/>
              <w:szCs w:val="14"/>
            </w:rPr>
            <w:t xml:space="preserve">Rua dos Advogados, nº 123, Sala 45 – Bairro – Cidade/UF  –  CEP: 00.000-000</w:t>
          </w:r>
        </w:p>
      </w:tc>
      <w:tc>
        <w:tcPr>
          <w:tcW w:type="dxa" w:w="263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40"/>
            <w:jc w:val="right"/>
          </w:pPr>
          <w:r>
            <w:rPr>
              <w:rFonts w:ascii="Arial" w:cs="Arial" w:eastAsia="Arial" w:hAnsi="Arial"/>
              <w:color w:val="666666"/>
              <w:sz w:val="14"/>
              <w:szCs w:val="14"/>
            </w:rPr>
            <w:t xml:space="preserve">Página </w:t>
          </w:r>
          <w:r>
            <w:rPr>
              <w:rFonts w:ascii="Arial" w:cs="Arial" w:eastAsia="Arial" w:hAnsi="Arial"/>
              <w:b/>
              <w:bCs/>
              <w:color w:val="1B3A6E"/>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de </w:t>
          </w:r>
          <w:r>
            <w:rPr>
              <w:rFonts w:ascii="Arial" w:cs="Arial" w:eastAsia="Arial" w:hAnsi="Arial"/>
              <w:b/>
              <w:bCs/>
              <w:color w:val="1B3A6E"/>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200"/>
      <w:gridCol w:w="3438"/>
    </w:tblGrid>
    <w:tr>
      <w:tc>
        <w:tcPr>
          <w:tcW w:type="dxa" w:w="6200"/>
          <w:tcBorders>
            <w:top w:val="none" w:color="FFFFFF" w:sz="0"/>
            <w:left w:val="none" w:color="FFFFFF" w:sz="0"/>
            <w:bottom w:val="none" w:color="FFFFFF" w:sz="0"/>
            <w:right w:val="none" w:color="FFFFFF" w:sz="0"/>
          </w:tcBorders>
          <w:tcMar>
            <w:top w:type="dxa" w:w="60"/>
            <w:left w:type="dxa" w:w="0"/>
            <w:bottom w:type="dxa" w:w="60"/>
            <w:right w:type="dxa" w:w="120"/>
          </w:tcMar>
          <w:vAlign w:val="center"/>
        </w:tcPr>
        <w:p>
          <w:pPr>
            <w:spacing w:after="40" w:before="0" w:line="240"/>
          </w:pPr>
          <w:r>
            <w:rPr>
              <w:rFonts w:ascii="Arial" w:cs="Arial" w:eastAsia="Arial" w:hAnsi="Arial"/>
              <w:b/>
              <w:bCs/>
              <w:color w:val="1B3A6E"/>
              <w:sz w:val="22"/>
              <w:szCs w:val="22"/>
            </w:rPr>
            <w:t xml:space="preserve">SOBRENOME &amp; SOBRENOME ADVOGADOS ASSOCIADOS</w:t>
          </w:r>
        </w:p>
        <w:p>
          <w:pPr>
            <w:spacing w:after="40" w:before="0" w:line="240"/>
          </w:pPr>
          <w:r>
            <w:rPr>
              <w:rFonts w:ascii="Arial" w:cs="Arial" w:eastAsia="Arial" w:hAnsi="Arial"/>
              <w:i/>
              <w:iCs/>
              <w:color w:val="777777"/>
              <w:sz w:val="16"/>
              <w:szCs w:val="16"/>
            </w:rPr>
            <w:t xml:space="preserve">Advocacia Criminal | Família | Cível</w:t>
          </w:r>
        </w:p>
        <w:p>
          <w:pPr>
            <w:spacing w:after="0" w:before="40" w:line="240"/>
          </w:pPr>
          <w:r>
            <w:rPr>
              <w:rFonts w:ascii="Arial" w:cs="Arial" w:eastAsia="Arial" w:hAnsi="Arial"/>
              <w:color w:val="555555"/>
              <w:sz w:val="15"/>
              <w:szCs w:val="15"/>
            </w:rPr>
            <w:t xml:space="preserve">(XX) XXXXX-XXXX  |  </w:t>
          </w:r>
          <w:r>
            <w:rPr>
              <w:rFonts w:ascii="Arial" w:cs="Arial" w:eastAsia="Arial" w:hAnsi="Arial"/>
              <w:color w:val="1B3A6E"/>
              <w:sz w:val="15"/>
              <w:szCs w:val="15"/>
            </w:rPr>
            <w:t xml:space="preserve">contato@escritorio.adv.br</w:t>
          </w:r>
          <w:r>
            <w:rPr>
              <w:rFonts w:ascii="Arial" w:cs="Arial" w:eastAsia="Arial" w:hAnsi="Arial"/>
              <w:color w:val="555555"/>
              <w:sz w:val="15"/>
              <w:szCs w:val="15"/>
            </w:rPr>
            <w:t xml:space="preserve">  |  www.escritorio.adv.br</w:t>
          </w:r>
        </w:p>
      </w:tc>
      <w:tc>
        <w:tcPr>
          <w:tcW w:type="dxa" w:w="3438"/>
          <w:tcBorders>
            <w:top w:val="none" w:color="FFFFFF" w:sz="0"/>
            <w:left w:val="single" w:color="C8A951" w:sz="8" w:space="0"/>
            <w:bottom w:val="none" w:color="FFFFFF" w:sz="0"/>
            <w:right w:val="none" w:color="FFFFFF" w:sz="0"/>
          </w:tcBorders>
          <w:shd w:fill="F8F8F8" w:val="clear"/>
          <w:tcMar>
            <w:top w:type="dxa" w:w="60"/>
            <w:left w:type="dxa" w:w="140"/>
            <w:bottom w:type="dxa" w:w="60"/>
            <w:right w:type="dxa" w:w="0"/>
          </w:tcMar>
          <w:vAlign w:val="center"/>
        </w:tcPr>
        <w:p>
          <w:pPr>
            <w:spacing w:after="40" w:before="0" w:line="240"/>
            <w:jc w:val="center"/>
          </w:pPr>
          <w:r>
            <w:rPr>
              <w:rFonts w:ascii="Arial" w:cs="Arial" w:eastAsia="Arial" w:hAnsi="Arial"/>
              <w:b/>
              <w:bCs/>
              <w:color w:val="1B3A6E"/>
              <w:sz w:val="16"/>
              <w:szCs w:val="16"/>
            </w:rPr>
            <w:t xml:space="preserve">OAB/XX nº XXXXX</w:t>
          </w:r>
        </w:p>
        <w:p>
          <w:pPr>
            <w:spacing w:after="0" w:before="0" w:line="240"/>
            <w:jc w:val="center"/>
          </w:pPr>
          <w:r>
            <w:rPr>
              <w:rFonts w:ascii="Arial" w:cs="Arial" w:eastAsia="Arial" w:hAnsi="Arial"/>
              <w:color w:val="555555"/>
              <w:sz w:val="15"/>
              <w:szCs w:val="15"/>
            </w:rPr>
            <w:t xml:space="preserve">Dr(a). Nome Completo do Advogado(a)</w:t>
          </w:r>
        </w:p>
      </w:tc>
    </w:tr>
  </w:tbl>
  <w:p>
    <w:pPr>
      <w:pBdr>
        <w:bottom w:val="single" w:color="C8A951" w:sz="12" w:space="0"/>
      </w:pBdr>
      <w:spacing w:after="0" w:before="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2026-04-13T02:17:00.487Z</dcterms:created>
  <dcterms:modified xsi:type="dcterms:W3CDTF">2026-04-13T02:17:00.488Z</dcterms:modified>
</cp:coreProperties>
</file>

<file path=docProps/custom.xml><?xml version="1.0" encoding="utf-8"?>
<Properties xmlns="http://schemas.openxmlformats.org/officeDocument/2006/custom-properties" xmlns:vt="http://schemas.openxmlformats.org/officeDocument/2006/docPropsVTypes"/>
</file>