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pPr>
      <w:r>
        <w:rPr>
          <w:rFonts w:ascii="Calibri" w:hAnsi="Calibri"/>
          <w:b/>
          <w:color w:val="2E74B5"/>
          <w:sz w:val="26"/>
        </w:rPr>
        <w:t>PENSAE SIGNAL</w:t>
      </w:r>
    </w:p>
    <w:p>
      <w:pPr>
        <w:spacing w:before="0" w:after="160"/>
      </w:pPr>
      <w:r>
        <w:rPr>
          <w:rFonts w:ascii="Calibri" w:hAnsi="Calibri"/>
          <w:b/>
          <w:color w:val="0B2545"/>
          <w:sz w:val="56"/>
        </w:rPr>
        <w:t>Problem-First Opportunity Discovery</w:t>
      </w:r>
    </w:p>
    <w:p>
      <w:pPr>
        <w:spacing w:after="520"/>
      </w:pPr>
      <w:r>
        <w:rPr>
          <w:rFonts w:ascii="Calibri" w:hAnsi="Calibri"/>
          <w:color w:val="1F4D78"/>
          <w:sz w:val="32"/>
        </w:rPr>
        <w:t>Product Requirements Document</w:t>
      </w:r>
    </w:p>
    <w:p>
      <w:pPr>
        <w:spacing w:after="80"/>
      </w:pPr>
      <w:r>
        <w:rPr>
          <w:rFonts w:ascii="Calibri" w:hAnsi="Calibri"/>
          <w:b/>
          <w:color w:val="5F6B78"/>
          <w:sz w:val="22"/>
        </w:rPr>
        <w:t>Local-first prototype  |  Version 2.4</w:t>
      </w:r>
    </w:p>
    <w:p>
      <w:pPr>
        <w:spacing w:after="600"/>
      </w:pPr>
      <w:r>
        <w:rPr>
          <w:rFonts w:ascii="Calibri" w:hAnsi="Calibri"/>
          <w:color w:val="5F6B78"/>
          <w:sz w:val="22"/>
        </w:rPr>
        <w:t>August 28, 2026  |  Accepted Pensae Signal identity baseline</w:t>
      </w:r>
    </w:p>
    <w:p>
      <w:pPr>
        <w:shd w:fill="F2F4F7"/>
        <w:pBdr>
          <w:top w:val="single" w:sz="4" w:space="4" w:color="B7C3D0"/>
          <w:left w:val="single" w:sz="4" w:space="4" w:color="B7C3D0"/>
          <w:bottom w:val="single" w:sz="4" w:space="4" w:color="B7C3D0"/>
          <w:right w:val="single" w:sz="4" w:space="4" w:color="B7C3D0"/>
        </w:pBdr>
        <w:spacing w:before="0" w:after="0"/>
        <w:ind w:left="115" w:right="115"/>
      </w:pPr>
      <w:r>
        <w:rPr>
          <w:rFonts w:ascii="Calibri" w:hAnsi="Calibri"/>
          <w:b/>
          <w:color w:val="0B2545"/>
          <w:sz w:val="21"/>
        </w:rPr>
        <w:t>Purpose: discover recurring and expensive business problems from public web evidence, identify the customer segment that experiences each problem, and target five distinct, evidence-backed software or consulting opportunities per representative run when the bounded candidate pool and evidence are sufficient—without filler or invented support.</w:t>
      </w:r>
    </w:p>
    <w:p>
      <w:r>
        <w:br w:type="page"/>
      </w:r>
    </w:p>
    <w:p>
      <w:pPr>
        <w:pStyle w:val="Heading1"/>
        <w:keepNext/>
      </w:pPr>
      <w:r>
        <w:t>Document purpose and authority</w:t>
      </w:r>
    </w:p>
    <w:p>
      <w:r>
        <w:rPr>
          <w:rFonts w:ascii="Calibri" w:hAnsi="Calibri"/>
        </w:rPr>
        <w:t>This document is the accepted product-requirements baseline for the Pensae Signal application, owned by Pensae. It supersedes PRD v2.3 only for the human-facing application identity. Product behavior, native Fedora 44 topology, evidence, lifecycle, retention, security, scoring, limits, data contracts, and compatibility identifiers remain unchanged. Earlier PRDs remain immutable historical references and must not be reinterpreted.</w:t>
      </w:r>
    </w:p>
    <w:p>
      <w:r>
        <w:rPr>
          <w:rFonts w:ascii="Calibri" w:hAnsi="Calibri"/>
        </w:rPr>
        <w:t>The PRD defines observable behavior, scope, evidence policy, lifecycle rules, safety boundaries, and acceptance criteria. Exact model names, hardware tuning, similarity thresholds, and the initial SearXNG engine set are development-time defaults selected through testing.</w:t>
      </w:r>
    </w:p>
    <w:p>
      <w:pPr>
        <w:pStyle w:val="Heading1"/>
        <w:keepNext/>
      </w:pPr>
      <w:r>
        <w:t>1. Executive summary</w:t>
      </w:r>
    </w:p>
    <w:p>
      <w:r>
        <w:rPr>
          <w:rFonts w:ascii="Calibri" w:hAnsi="Calibri"/>
        </w:rPr>
        <w:t>Pensae Signal is a local native Fedora 44 application on the workstation for one operator. It searches public web signals for recurring problems, inefficient workflows, expensive workarounds, and unmet needs. It abstracts related signals into reusable problem patterns, maps those patterns to plausible customer segments, validates the strongest problem-and-segment combinations, and, on a representative sufficient-evidence run, continues bounded candidate evaluation until it commits five distinct opportunities or exhausts the admitted candidate pool with an explicit shortfall reason.</w:t>
      </w:r>
    </w:p>
    <w:p>
      <w:r>
        <w:rPr>
          <w:rFonts w:ascii="Calibri" w:hAnsi="Calibri"/>
        </w:rPr>
        <w:t>The prototype is both a working internal research tool and a public portfolio project. It intentionally demonstrates LangGraph orchestration, local model inference, SearXNG, PostgreSQL, pgvector, Redis, evidence provenance, structured outputs, and safe cancellation without adding production-scale infrastructure.</w:t>
      </w:r>
    </w:p>
    <w:p>
      <w:r>
        <w:rPr>
          <w:rFonts w:ascii="Calibri" w:hAnsi="Calibri"/>
          <w:b/>
        </w:rPr>
        <w:t>Core hypothesis: A bounded, evidence-first workflow with reserved finalization capacity can produce a useful breadth of opportunities without weakening quality: validate the problem, affected role, buyer, and initial market before designing the solution; commit each complete opportunity independently; never invent filler to satisfy the target.</w:t>
      </w:r>
      <w:r>
        <w:rPr>
          <w:rFonts w:ascii="Calibri" w:hAnsi="Calibri"/>
        </w:rPr>
      </w:r>
    </w:p>
    <w:p>
      <w:pPr>
        <w:pStyle w:val="Heading1"/>
        <w:keepNext/>
      </w:pPr>
      <w:r>
        <w:t>2. Product problem, goals, and principles</w:t>
      </w:r>
    </w:p>
    <w:p>
      <w:pPr>
        <w:pStyle w:val="Heading2"/>
        <w:keepNext/>
      </w:pPr>
      <w:r>
        <w:t>2.1 Problem statement</w:t>
      </w:r>
    </w:p>
    <w:p>
      <w:r>
        <w:rPr>
          <w:rFonts w:ascii="Calibri" w:hAnsi="Calibri"/>
        </w:rPr>
        <w:t>Generic idea generators tend to produce fashionable but weakly grounded concepts. They often begin with a technology, infer a market afterward, repeat similar ideas across industries, and provide limited evidence that a real buyer experiences a frequent and costly problem. Pensae Signal needs a repeatable way to begin with observable work, understand the problem across industries, select a credible beachhead segment, and only then design an appropriate solution.</w:t>
      </w:r>
    </w:p>
    <w:p>
      <w:pPr>
        <w:pStyle w:val="Heading2"/>
        <w:keepNext/>
      </w:pPr>
      <w:r>
        <w:t>2.2 Product goals</w:t>
      </w:r>
    </w:p>
    <w:p>
      <w:pPr>
        <w:numPr>
          <w:ilvl w:val="0"/>
          <w:numId w:val="10"/>
        </w:numPr>
        <w:spacing w:after="160" w:line="280" w:lineRule="auto"/>
      </w:pPr>
      <w:r>
        <w:rPr>
          <w:rFonts w:ascii="Calibri" w:hAnsi="Calibri"/>
        </w:rPr>
        <w:t>Discover evidence-backed SaaS, API, data-product, integration, automation, managed-service, or software-enabled consulting opportunities for Pensae.</w:t>
      </w:r>
    </w:p>
    <w:p>
      <w:pPr>
        <w:numPr>
          <w:ilvl w:val="0"/>
          <w:numId w:val="10"/>
        </w:numPr>
        <w:spacing w:after="160" w:line="280" w:lineRule="auto"/>
      </w:pPr>
      <w:r>
        <w:rPr>
          <w:rFonts w:ascii="Calibri" w:hAnsi="Calibri"/>
        </w:rPr>
        <w:t>Find horizontal problem patterns while still producing a specific initial customer segment, buyer, and workflow for each final opportunity.</w:t>
      </w:r>
    </w:p>
    <w:p>
      <w:pPr>
        <w:numPr>
          <w:ilvl w:val="0"/>
          <w:numId w:val="10"/>
        </w:numPr>
        <w:spacing w:after="160" w:line="280" w:lineRule="auto"/>
      </w:pPr>
      <w:r>
        <w:rPr>
          <w:rFonts w:ascii="Calibri" w:hAnsi="Calibri"/>
        </w:rPr>
        <w:t>Make the complete evidence chain inspectable so the operator can distinguish sourced facts, inferences, assumptions, conflicts, and unknowns.</w:t>
      </w:r>
    </w:p>
    <w:p>
      <w:pPr>
        <w:numPr>
          <w:ilvl w:val="0"/>
          <w:numId w:val="10"/>
        </w:numPr>
        <w:spacing w:after="160" w:line="280" w:lineRule="auto"/>
      </w:pPr>
      <w:r>
        <w:rPr>
          <w:rFonts w:ascii="Calibri" w:hAnsi="Calibri"/>
        </w:rPr>
        <w:t>Provide a portfolio-quality demonstration of a small local agent workflow that the operator can understand, explain, and extend.</w:t>
      </w:r>
    </w:p>
    <w:p>
      <w:pPr>
        <w:numPr>
          <w:ilvl w:val="0"/>
          <w:numId w:val="10"/>
        </w:numPr>
        <w:spacing w:after="160" w:line="280" w:lineRule="auto"/>
      </w:pPr>
      <w:r>
        <w:rPr>
          <w:rFonts w:ascii="Calibri" w:hAnsi="Calibri"/>
        </w:rPr>
        <w:t>Support learning and experimentation with local models, LangGraph, SearXNG, Redis, PostgreSQL, pgvector, structured output validation, and testing.</w:t>
      </w:r>
    </w:p>
    <w:p>
      <w:pPr>
        <w:pStyle w:val="Heading2"/>
        <w:keepNext/>
      </w:pPr>
      <w:r>
        <w:t>2.3 Product principles</w:t>
      </w:r>
    </w:p>
    <w:p>
      <w:pPr>
        <w:numPr>
          <w:ilvl w:val="0"/>
          <w:numId w:val="10"/>
        </w:numPr>
        <w:spacing w:after="160" w:line="280" w:lineRule="auto"/>
      </w:pPr>
      <w:r>
        <w:rPr>
          <w:rFonts w:ascii="Calibri" w:hAnsi="Calibri"/>
        </w:rPr>
        <w:t>Problem before technology. The required capability determines whether AI, rules, search, workflow automation, conventional SaaS, or consulting is appropriate.</w:t>
      </w:r>
    </w:p>
    <w:p>
      <w:pPr>
        <w:numPr>
          <w:ilvl w:val="0"/>
          <w:numId w:val="10"/>
        </w:numPr>
        <w:spacing w:after="160" w:line="280" w:lineRule="auto"/>
      </w:pPr>
      <w:r>
        <w:rPr>
          <w:rFonts w:ascii="Calibri" w:hAnsi="Calibri"/>
        </w:rPr>
        <w:t>Segment before full product. The workflow validates who experiences and pays for the problem before designing a complete solution.</w:t>
      </w:r>
    </w:p>
    <w:p>
      <w:pPr>
        <w:numPr>
          <w:ilvl w:val="0"/>
          <w:numId w:val="10"/>
        </w:numPr>
        <w:spacing w:after="160" w:line="280" w:lineRule="auto"/>
      </w:pPr>
      <w:r>
        <w:rPr>
          <w:rFonts w:ascii="Calibri" w:hAnsi="Calibri"/>
        </w:rPr>
        <w:t>Evidence before confidence. Model output is analysis, not evidence.</w:t>
      </w:r>
    </w:p>
    <w:p>
      <w:pPr>
        <w:numPr>
          <w:ilvl w:val="0"/>
          <w:numId w:val="10"/>
        </w:numPr>
        <w:spacing w:after="160" w:line="280" w:lineRule="auto"/>
      </w:pPr>
      <w:r>
        <w:rPr>
          <w:rFonts w:ascii="Calibri" w:hAnsi="Calibri"/>
        </w:rPr>
        <w:t>Deterministic control around probabilistic reasoning. Application code owns security, limits, routing, persistence, scoring arithmetic, and lifecycle transitions.</w:t>
      </w:r>
    </w:p>
    <w:p>
      <w:pPr>
        <w:numPr>
          <w:ilvl w:val="0"/>
          <w:numId w:val="10"/>
        </w:numPr>
        <w:spacing w:after="160" w:line="280" w:lineRule="auto"/>
      </w:pPr>
      <w:r>
        <w:rPr>
          <w:rFonts w:ascii="Calibri" w:hAnsi="Calibri"/>
        </w:rPr>
        <w:t>Small permanent surface. Only final opportunities and the research needed to explain them become durable product data.</w:t>
      </w:r>
    </w:p>
    <w:p>
      <w:pPr>
        <w:numPr>
          <w:ilvl w:val="0"/>
          <w:numId w:val="10"/>
        </w:numPr>
        <w:spacing w:after="160" w:line="280" w:lineRule="auto"/>
      </w:pPr>
      <w:r>
        <w:rPr>
          <w:rFonts w:ascii="Calibri" w:hAnsi="Calibri"/>
        </w:rPr>
        <w:t>Portfolio technology must support the product. A technology is not included only to increase architectural sophistication.</w:t>
      </w:r>
    </w:p>
    <w:p>
      <w:pPr>
        <w:pStyle w:val="Heading2"/>
        <w:keepNext/>
      </w:pPr>
      <w:r>
        <w:t>2.4 Prototype learning outcomes</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500"/>
        <w:gridCol w:w="6860"/>
      </w:tblGrid>
      <w:tr>
        <w:trPr>
          <w:tblHeader w:val="true"/>
          <w:cantSplit w:val="true"/>
        </w:trPr>
        <w:tc>
          <w:tcPr>
            <w:tcW w:type="dxa" w:w="2500"/>
            <w:tcMar>
              <w:top w:w="80" w:type="dxa"/>
              <w:start w:w="120" w:type="dxa"/>
              <w:bottom w:w="80" w:type="dxa"/>
              <w:end w:w="120" w:type="dxa"/>
            </w:tcMar>
            <w:vAlign w:val="center"/>
            <w:shd w:fill="F2F4F7"/>
          </w:tcPr>
          <w:p>
            <w:pPr>
              <w:pStyle w:val="TableText"/>
              <w:keepNext/>
            </w:pPr>
            <w:r>
              <w:rPr>
                <w:rFonts w:ascii="Calibri" w:hAnsi="Calibri"/>
                <w:b/>
                <w:color w:val="0B2545"/>
                <w:sz w:val="19"/>
              </w:rPr>
              <w:t>Outcome</w:t>
            </w:r>
          </w:p>
        </w:tc>
        <w:tc>
          <w:tcPr>
            <w:tcW w:type="dxa" w:w="6860"/>
            <w:tcMar>
              <w:top w:w="80" w:type="dxa"/>
              <w:start w:w="120" w:type="dxa"/>
              <w:bottom w:w="80" w:type="dxa"/>
              <w:end w:w="120" w:type="dxa"/>
            </w:tcMar>
            <w:vAlign w:val="center"/>
            <w:shd w:fill="F2F4F7"/>
          </w:tcPr>
          <w:p>
            <w:pPr>
              <w:pStyle w:val="TableText"/>
              <w:keepNext/>
            </w:pPr>
            <w:r>
              <w:rPr>
                <w:rFonts w:ascii="Calibri" w:hAnsi="Calibri"/>
                <w:b/>
                <w:color w:val="0B2545"/>
                <w:sz w:val="19"/>
              </w:rPr>
              <w:t>Prototype signal</w:t>
            </w:r>
          </w:p>
        </w:tc>
      </w:tr>
      <w:tr>
        <w:trPr>
          <w:cantSplit w:val="true"/>
        </w:trPr>
        <w:tc>
          <w:tcPr>
            <w:tcW w:type="dxa" w:w="2500"/>
            <w:tcMar>
              <w:top w:w="80" w:type="dxa"/>
              <w:start w:w="120" w:type="dxa"/>
              <w:bottom w:w="80" w:type="dxa"/>
              <w:end w:w="120" w:type="dxa"/>
            </w:tcMar>
            <w:vAlign w:val="center"/>
          </w:tcPr>
          <w:p>
            <w:pPr>
              <w:pStyle w:val="TableText"/>
            </w:pPr>
            <w:r>
              <w:rPr>
                <w:rFonts w:ascii="Calibri" w:hAnsi="Calibri"/>
                <w:sz w:val="19"/>
              </w:rPr>
              <w:t>Research usefulness</w:t>
            </w:r>
          </w:p>
        </w:tc>
        <w:tc>
          <w:tcPr>
            <w:tcW w:type="dxa" w:w="6860"/>
            <w:tcMar>
              <w:top w:w="80" w:type="dxa"/>
              <w:start w:w="120" w:type="dxa"/>
              <w:bottom w:w="80" w:type="dxa"/>
              <w:end w:w="120" w:type="dxa"/>
            </w:tcMar>
            <w:vAlign w:val="center"/>
          </w:tcPr>
          <w:p>
            <w:pPr>
              <w:pStyle w:val="TableText"/>
            </w:pPr>
            <w:r>
              <w:rPr>
                <w:rFonts w:ascii="Calibri" w:hAnsi="Calibri"/>
                <w:sz w:val="19"/>
              </w:rPr>
              <w:t>After an initial representative test series, the operator can identify opportunities worth independent follow-up. Favorites provide a lightweight subjective signal, not an automated learning input.</w:t>
            </w:r>
          </w:p>
        </w:tc>
      </w:tr>
      <w:tr>
        <w:trPr>
          <w:cantSplit w:val="true"/>
        </w:trPr>
        <w:tc>
          <w:tcPr>
            <w:tcW w:type="dxa" w:w="2500"/>
            <w:tcMar>
              <w:top w:w="80" w:type="dxa"/>
              <w:start w:w="120" w:type="dxa"/>
              <w:bottom w:w="80" w:type="dxa"/>
              <w:end w:w="120" w:type="dxa"/>
            </w:tcMar>
            <w:vAlign w:val="center"/>
          </w:tcPr>
          <w:p>
            <w:pPr>
              <w:pStyle w:val="TableText"/>
            </w:pPr>
            <w:r>
              <w:rPr>
                <w:rFonts w:ascii="Calibri" w:hAnsi="Calibri"/>
                <w:sz w:val="19"/>
              </w:rPr>
              <w:t>Evidence integrity</w:t>
            </w:r>
          </w:p>
        </w:tc>
        <w:tc>
          <w:tcPr>
            <w:tcW w:type="dxa" w:w="6860"/>
            <w:tcMar>
              <w:top w:w="80" w:type="dxa"/>
              <w:start w:w="120" w:type="dxa"/>
              <w:bottom w:w="80" w:type="dxa"/>
              <w:end w:w="120" w:type="dxa"/>
            </w:tcMar>
            <w:vAlign w:val="center"/>
          </w:tcPr>
          <w:p>
            <w:pPr>
              <w:pStyle w:val="TableText"/>
            </w:pPr>
            <w:r>
              <w:rPr>
                <w:rFonts w:ascii="Calibri" w:hAnsi="Calibri"/>
                <w:sz w:val="19"/>
              </w:rPr>
              <w:t>Every retained material factual claim is traceable to saved metadata and a mechanically verified short excerpt or is explicitly labeled as inference, assumption, conflict, or missing evidence.</w:t>
            </w:r>
          </w:p>
        </w:tc>
      </w:tr>
      <w:tr>
        <w:trPr>
          <w:cantSplit w:val="true"/>
        </w:trPr>
        <w:tc>
          <w:tcPr>
            <w:tcW w:type="dxa" w:w="2500"/>
            <w:tcMar>
              <w:top w:w="80" w:type="dxa"/>
              <w:start w:w="120" w:type="dxa"/>
              <w:bottom w:w="80" w:type="dxa"/>
              <w:end w:w="120" w:type="dxa"/>
            </w:tcMar>
            <w:vAlign w:val="center"/>
          </w:tcPr>
          <w:p>
            <w:pPr>
              <w:pStyle w:val="TableText"/>
            </w:pPr>
            <w:r>
              <w:rPr>
                <w:rFonts w:ascii="Calibri" w:hAnsi="Calibri"/>
                <w:sz w:val="19"/>
              </w:rPr>
              <w:t>Operational reliability</w:t>
            </w:r>
          </w:p>
        </w:tc>
        <w:tc>
          <w:tcPr>
            <w:tcW w:type="dxa" w:w="6860"/>
            <w:tcMar>
              <w:top w:w="80" w:type="dxa"/>
              <w:start w:w="120" w:type="dxa"/>
              <w:bottom w:w="80" w:type="dxa"/>
              <w:end w:w="120" w:type="dxa"/>
            </w:tcMar>
            <w:vAlign w:val="center"/>
          </w:tcPr>
          <w:p>
            <w:pPr>
              <w:pStyle w:val="TableText"/>
            </w:pPr>
            <w:r>
              <w:rPr>
                <w:rFonts w:ascii="Calibri" w:hAnsi="Calibri"/>
                <w:sz w:val="19"/>
              </w:rPr>
              <w:t>Runs stop, fail, refresh, or lose individual sources without corrupting completed opportunities or retaining temporary processing data.</w:t>
            </w:r>
          </w:p>
        </w:tc>
      </w:tr>
      <w:tr>
        <w:trPr>
          <w:cantSplit w:val="true"/>
        </w:trPr>
        <w:tc>
          <w:tcPr>
            <w:tcW w:type="dxa" w:w="2500"/>
            <w:tcMar>
              <w:top w:w="80" w:type="dxa"/>
              <w:start w:w="120" w:type="dxa"/>
              <w:bottom w:w="80" w:type="dxa"/>
              <w:end w:w="120" w:type="dxa"/>
            </w:tcMar>
            <w:vAlign w:val="center"/>
          </w:tcPr>
          <w:p>
            <w:pPr>
              <w:pStyle w:val="TableText"/>
            </w:pPr>
            <w:r>
              <w:rPr>
                <w:rFonts w:ascii="Calibri" w:hAnsi="Calibri"/>
                <w:sz w:val="19"/>
              </w:rPr>
              <w:t>Learning and portfolio value</w:t>
            </w:r>
          </w:p>
        </w:tc>
        <w:tc>
          <w:tcPr>
            <w:tcW w:type="dxa" w:w="6860"/>
            <w:tcMar>
              <w:top w:w="80" w:type="dxa"/>
              <w:start w:w="120" w:type="dxa"/>
              <w:bottom w:w="80" w:type="dxa"/>
              <w:end w:w="120" w:type="dxa"/>
            </w:tcMar>
            <w:vAlign w:val="center"/>
          </w:tcPr>
          <w:p>
            <w:pPr>
              <w:pStyle w:val="TableText"/>
            </w:pPr>
            <w:r>
              <w:rPr>
                <w:rFonts w:ascii="Calibri" w:hAnsi="Calibri"/>
                <w:sz w:val="19"/>
              </w:rPr>
              <w:t>The repository clearly demonstrates the role of every major component and includes tests that can run without a GPU or live internet.</w:t>
            </w:r>
          </w:p>
        </w:tc>
      </w:tr>
    </w:tbl>
    <w:p>
      <w:pPr>
        <w:spacing w:after="0" w:line="120" w:lineRule="auto"/>
      </w:pPr>
    </w:p>
    <w:p>
      <w:pPr>
        <w:pStyle w:val="Heading1"/>
        <w:keepNext/>
      </w:pPr>
      <w:r>
        <w:t>3. Operating model and scope</w:t>
      </w:r>
    </w:p>
    <w:p>
      <w:pPr>
        <w:pStyle w:val="Heading2"/>
        <w:keepNext/>
      </w:pPr>
      <w:r>
        <w:t>3.1 Operating model</w:t>
      </w:r>
    </w:p>
    <w:p>
      <w:pPr>
        <w:numPr>
          <w:ilvl w:val="0"/>
          <w:numId w:val="10"/>
        </w:numPr>
        <w:spacing w:after="160" w:line="280" w:lineRule="auto"/>
      </w:pPr>
      <w:r>
        <w:rPr>
          <w:rFonts w:ascii="Calibri" w:hAnsi="Calibri"/>
        </w:rPr>
        <w:t>One operator uses one local Pensae Signal installation on the native Fedora 44 local workstation.</w:t>
      </w:r>
    </w:p>
    <w:p>
      <w:pPr>
        <w:numPr>
          <w:ilvl w:val="0"/>
          <w:numId w:val="10"/>
        </w:numPr>
        <w:spacing w:after="160" w:line="280" w:lineRule="auto"/>
      </w:pPr>
      <w:r>
        <w:rPr>
          <w:rFonts w:ascii="Calibri" w:hAnsi="Calibri"/>
        </w:rPr>
        <w:t>The operator browser reaches the Fedora-hosted UI/API on the same workstation through IPv4 loopback. The application binds to host IPv4 loopback only by default; remote access is prohibited.</w:t>
      </w:r>
    </w:p>
    <w:p>
      <w:pPr>
        <w:numPr>
          <w:ilvl w:val="0"/>
          <w:numId w:val="10"/>
        </w:numPr>
        <w:spacing w:after="160" w:line="280" w:lineRule="auto"/>
      </w:pPr>
      <w:r>
        <w:rPr>
          <w:rFonts w:ascii="Calibri" w:hAnsi="Calibri"/>
        </w:rPr>
        <w:t>Only one research run may be active. There is no scheduler, run queue, multi-user concurrency, or run resume after application restart.</w:t>
      </w:r>
    </w:p>
    <w:p>
      <w:pPr>
        <w:numPr>
          <w:ilvl w:val="0"/>
          <w:numId w:val="10"/>
        </w:numPr>
        <w:spacing w:after="160" w:line="280" w:lineRule="auto"/>
      </w:pPr>
      <w:r>
        <w:rPr>
          <w:rFonts w:ascii="Calibri" w:hAnsi="Calibri"/>
        </w:rPr>
        <w:t>The application and both launcher-managed llama.cpp servers run directly on the same native Fedora 44 host. Docker Compose runs only PostgreSQL with pgvector, Redis, and SearXNG.</w:t>
      </w:r>
    </w:p>
    <w:p>
      <w:pPr>
        <w:numPr>
          <w:ilvl w:val="0"/>
          <w:numId w:val="10"/>
        </w:numPr>
        <w:spacing w:after="160" w:line="280" w:lineRule="auto"/>
      </w:pPr>
      <w:r>
        <w:rPr>
          <w:rFonts w:ascii="Calibri" w:hAnsi="Calibri"/>
        </w:rPr>
        <w:t>All generation and embedding inference is local. The prototype has no paid model or search provider and no API-cost calculation.</w:t>
      </w:r>
    </w:p>
    <w:p>
      <w:pPr>
        <w:numPr>
          <w:ilvl w:val="0"/>
          <w:numId w:val="10"/>
        </w:numPr>
        <w:spacing w:after="160" w:line="280" w:lineRule="auto"/>
      </w:pPr>
      <w:r>
        <w:rPr>
          <w:rFonts w:ascii="Calibri" w:hAnsi="Calibri"/>
        </w:rPr>
        <w:t>The operator may favorite opportunities and record free-text notes. These do not influence later discovery, scoring, or ranking.</w:t>
      </w:r>
    </w:p>
    <w:p>
      <w:pPr>
        <w:pStyle w:val="Heading2"/>
        <w:keepNext/>
      </w:pPr>
      <w:r>
        <w:t>3.2 In scope</w:t>
      </w:r>
    </w:p>
    <w:p>
      <w:pPr>
        <w:numPr>
          <w:ilvl w:val="0"/>
          <w:numId w:val="10"/>
        </w:numPr>
        <w:spacing w:after="160" w:line="280" w:lineRule="auto"/>
      </w:pPr>
      <w:r>
        <w:rPr>
          <w:rFonts w:ascii="Calibri" w:hAnsi="Calibri"/>
        </w:rPr>
        <w:t>Broad or directed problem research across any industry, using United States and English-language defaults.</w:t>
      </w:r>
    </w:p>
    <w:p>
      <w:pPr>
        <w:numPr>
          <w:ilvl w:val="0"/>
          <w:numId w:val="10"/>
        </w:numPr>
        <w:spacing w:after="160" w:line="280" w:lineRule="auto"/>
      </w:pPr>
      <w:r>
        <w:rPr>
          <w:rFonts w:ascii="Calibri" w:hAnsi="Calibri"/>
        </w:rPr>
        <w:t>Self-hosted SearXNG search and conservative retrieval of permitted public HTTP/HTTPS sources.</w:t>
      </w:r>
    </w:p>
    <w:p>
      <w:pPr>
        <w:numPr>
          <w:ilvl w:val="0"/>
          <w:numId w:val="10"/>
        </w:numPr>
        <w:spacing w:after="160" w:line="280" w:lineRule="auto"/>
      </w:pPr>
      <w:r>
        <w:rPr>
          <w:rFonts w:ascii="Calibri" w:hAnsi="Calibri"/>
        </w:rPr>
        <w:t>Two-pass problem discovery and focused opportunity validation.</w:t>
      </w:r>
    </w:p>
    <w:p>
      <w:pPr>
        <w:numPr>
          <w:ilvl w:val="0"/>
          <w:numId w:val="10"/>
        </w:numPr>
        <w:spacing w:after="160" w:line="280" w:lineRule="auto"/>
      </w:pPr>
      <w:r>
        <w:rPr>
          <w:rFonts w:ascii="Calibri" w:hAnsi="Calibri"/>
        </w:rPr>
        <w:t>Four constrained LangGraph agent roles using one local chat model and schema-validated outputs.</w:t>
      </w:r>
    </w:p>
    <w:p>
      <w:pPr>
        <w:numPr>
          <w:ilvl w:val="0"/>
          <w:numId w:val="10"/>
        </w:numPr>
        <w:spacing w:after="160" w:line="280" w:lineRule="auto"/>
      </w:pPr>
      <w:r>
        <w:rPr>
          <w:rFonts w:ascii="Calibri" w:hAnsi="Calibri"/>
        </w:rPr>
        <w:t>Problem-signal extraction, problem-pattern clustering, customer-segment mapping, solution hypotheses, demand/competition validation, scoring, critique, and reporting.</w:t>
      </w:r>
    </w:p>
    <w:p>
      <w:pPr>
        <w:numPr>
          <w:ilvl w:val="0"/>
          <w:numId w:val="10"/>
        </w:numPr>
        <w:spacing w:after="160" w:line="280" w:lineRule="auto"/>
      </w:pPr>
      <w:r>
        <w:rPr>
          <w:rFonts w:ascii="Calibri" w:hAnsi="Calibri"/>
        </w:rPr>
        <w:t>PostgreSQL persistence, pgvector exact similarity search, content fingerprints, Redis progress/cancellation, versioning, related opportunities, rediscovery, update, reversible merge, favorites, notes, and permanent deletion.</w:t>
      </w:r>
    </w:p>
    <w:p>
      <w:pPr>
        <w:numPr>
          <w:ilvl w:val="0"/>
          <w:numId w:val="10"/>
        </w:numPr>
        <w:spacing w:after="160" w:line="280" w:lineRule="auto"/>
      </w:pPr>
      <w:r>
        <w:rPr>
          <w:rFonts w:ascii="Calibri" w:hAnsi="Calibri"/>
        </w:rPr>
        <w:t>Saved settings, protected shipped defaults, Reset to defaults, token/work limits, health checks, rotating logs, and an optional environment-controlled verbose log level.</w:t>
      </w:r>
    </w:p>
    <w:p>
      <w:pPr>
        <w:pStyle w:val="Heading2"/>
        <w:keepNext/>
      </w:pPr>
      <w:r>
        <w:t>3.3 Explicitly out of scope</w:t>
      </w:r>
    </w:p>
    <w:p>
      <w:pPr>
        <w:numPr>
          <w:ilvl w:val="0"/>
          <w:numId w:val="10"/>
        </w:numPr>
        <w:spacing w:after="160" w:line="280" w:lineRule="auto"/>
      </w:pPr>
      <w:r>
        <w:rPr>
          <w:rFonts w:ascii="Calibri" w:hAnsi="Calibri"/>
        </w:rPr>
        <w:t>Accounts, authentication, remote access, organizations, collaboration, billing, cloud hosting, multi-tenancy, and mobile applications.</w:t>
      </w:r>
    </w:p>
    <w:p>
      <w:pPr>
        <w:numPr>
          <w:ilvl w:val="0"/>
          <w:numId w:val="10"/>
        </w:numPr>
        <w:spacing w:after="160" w:line="280" w:lineRule="auto"/>
      </w:pPr>
      <w:r>
        <w:rPr>
          <w:rFonts w:ascii="Calibri" w:hAnsi="Calibri"/>
        </w:rPr>
        <w:t>OpenAI or other paid model providers, Serper.dev, paid search fallbacks, provider-selection UI, provider pricing, dollar budgets, and secret API-key management.</w:t>
      </w:r>
    </w:p>
    <w:p>
      <w:pPr>
        <w:numPr>
          <w:ilvl w:val="0"/>
          <w:numId w:val="10"/>
        </w:numPr>
        <w:spacing w:after="160" w:line="280" w:lineRule="auto"/>
      </w:pPr>
      <w:r>
        <w:rPr>
          <w:rFonts w:ascii="Calibri" w:hAnsi="Calibri"/>
        </w:rPr>
        <w:t>LLM supervisor agents, agent-to-agent conversations, autonomous tool selection, recursive planning, dynamic agent creation, debate, long-term agent memory, and LangGraph checkpoint persistence.</w:t>
      </w:r>
    </w:p>
    <w:p>
      <w:pPr>
        <w:numPr>
          <w:ilvl w:val="0"/>
          <w:numId w:val="10"/>
        </w:numPr>
        <w:spacing w:after="160" w:line="280" w:lineRule="auto"/>
      </w:pPr>
      <w:r>
        <w:rPr>
          <w:rFonts w:ascii="Calibri" w:hAnsi="Calibri"/>
        </w:rPr>
        <w:t>LangSmith, LangGraph Platform, Agent Server, distributed workers, task queues, schedulers, and resume after interruption.</w:t>
      </w:r>
    </w:p>
    <w:p>
      <w:pPr>
        <w:numPr>
          <w:ilvl w:val="0"/>
          <w:numId w:val="10"/>
        </w:numPr>
        <w:spacing w:after="160" w:line="280" w:lineRule="auto"/>
      </w:pPr>
      <w:r>
        <w:rPr>
          <w:rFonts w:ascii="Calibri" w:hAnsi="Calibri"/>
        </w:rPr>
        <w:t>Browser automation, authenticated source access, CAPTCHA solving, robots or access-control bypass, full-page archiving, screenshots, and full downloaded documents as durable product data.</w:t>
      </w:r>
    </w:p>
    <w:p>
      <w:pPr>
        <w:numPr>
          <w:ilvl w:val="0"/>
          <w:numId w:val="10"/>
        </w:numPr>
        <w:spacing w:after="160" w:line="280" w:lineRule="auto"/>
      </w:pPr>
      <w:r>
        <w:rPr>
          <w:rFonts w:ascii="Calibri" w:hAnsi="Calibri"/>
        </w:rPr>
        <w:t>Knowledge graphs, similarity visualizations, clustering dashboards, advanced source-management screens, separate CRUD interfaces for signals/patterns/segments, and editable scoring weights.</w:t>
      </w:r>
    </w:p>
    <w:p>
      <w:pPr>
        <w:numPr>
          <w:ilvl w:val="0"/>
          <w:numId w:val="10"/>
        </w:numPr>
        <w:spacing w:after="160" w:line="280" w:lineRule="auto"/>
      </w:pPr>
      <w:r>
        <w:rPr>
          <w:rFonts w:ascii="Calibri" w:hAnsi="Calibri"/>
        </w:rPr>
        <w:t>Automatic merge or update, score editing, financial forecasts, precise market-size claims, customer outreach, experiments, proposals, and business execution.</w:t>
      </w:r>
    </w:p>
    <w:p>
      <w:pPr>
        <w:pStyle w:val="Heading1"/>
        <w:keepNext/>
      </w:pPr>
      <w:r>
        <w:t>4. Core domain model</w:t>
      </w:r>
    </w:p>
    <w:p>
      <w:pPr>
        <w:pStyle w:val="Heading2"/>
        <w:keepNext/>
      </w:pPr>
      <w:r>
        <w:t>4.1 Final business object</w:t>
      </w:r>
    </w:p>
    <w:p>
      <w:r>
        <w:rPr>
          <w:rFonts w:ascii="Calibri" w:hAnsi="Calibri"/>
        </w:rPr>
        <w:t>The unit displayed, scored, compared, versioned, and selected is an Opportunity: a problem pattern combined with a proposed solution, a specific target customer segment, a likely buyer, a recurring workflow, and supporting evidence. A broad horizontal capability without an initial segment is not a completed opportunity.</w:t>
      </w:r>
    </w:p>
    <w:p>
      <w:pPr>
        <w:pStyle w:val="Heading2"/>
        <w:keepNext/>
      </w:pPr>
      <w:r>
        <w:t>4.2 Durable entities</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900"/>
        <w:gridCol w:w="2900"/>
        <w:gridCol w:w="4560"/>
      </w:tblGrid>
      <w:tr>
        <w:trPr>
          <w:tblHeader w:val="true"/>
          <w:cantSplit w:val="true"/>
        </w:trPr>
        <w:tc>
          <w:tcPr>
            <w:tcW w:type="dxa" w:w="1900"/>
            <w:tcMar>
              <w:top w:w="80" w:type="dxa"/>
              <w:start w:w="120" w:type="dxa"/>
              <w:bottom w:w="80" w:type="dxa"/>
              <w:end w:w="120" w:type="dxa"/>
            </w:tcMar>
            <w:vAlign w:val="center"/>
            <w:shd w:fill="F2F4F7"/>
          </w:tcPr>
          <w:p>
            <w:pPr>
              <w:pStyle w:val="TableText"/>
              <w:keepNext/>
            </w:pPr>
            <w:r>
              <w:rPr>
                <w:rFonts w:ascii="Calibri" w:hAnsi="Calibri"/>
                <w:b/>
                <w:color w:val="0B2545"/>
                <w:sz w:val="19"/>
              </w:rPr>
              <w:t>Entity</w:t>
            </w:r>
          </w:p>
        </w:tc>
        <w:tc>
          <w:tcPr>
            <w:tcW w:type="dxa" w:w="2900"/>
            <w:tcMar>
              <w:top w:w="80" w:type="dxa"/>
              <w:start w:w="120" w:type="dxa"/>
              <w:bottom w:w="80" w:type="dxa"/>
              <w:end w:w="120" w:type="dxa"/>
            </w:tcMar>
            <w:vAlign w:val="center"/>
            <w:shd w:fill="F2F4F7"/>
          </w:tcPr>
          <w:p>
            <w:pPr>
              <w:pStyle w:val="TableText"/>
              <w:keepNext/>
            </w:pPr>
            <w:r>
              <w:rPr>
                <w:rFonts w:ascii="Calibri" w:hAnsi="Calibri"/>
                <w:b/>
                <w:color w:val="0B2545"/>
                <w:sz w:val="19"/>
              </w:rPr>
              <w:t>Purpose</w:t>
            </w:r>
          </w:p>
        </w:tc>
        <w:tc>
          <w:tcPr>
            <w:tcW w:type="dxa" w:w="4560"/>
            <w:tcMar>
              <w:top w:w="80" w:type="dxa"/>
              <w:start w:w="120" w:type="dxa"/>
              <w:bottom w:w="80" w:type="dxa"/>
              <w:end w:w="120" w:type="dxa"/>
            </w:tcMar>
            <w:vAlign w:val="center"/>
            <w:shd w:fill="F2F4F7"/>
          </w:tcPr>
          <w:p>
            <w:pPr>
              <w:pStyle w:val="TableText"/>
              <w:keepNext/>
            </w:pPr>
            <w:r>
              <w:rPr>
                <w:rFonts w:ascii="Calibri" w:hAnsi="Calibri"/>
                <w:b/>
                <w:color w:val="0B2545"/>
                <w:sz w:val="19"/>
              </w:rPr>
              <w:t>Prototype treatment</w:t>
            </w:r>
          </w:p>
        </w:tc>
      </w:tr>
      <w:tr>
        <w:trPr>
          <w:cantSplit w:val="true"/>
        </w:trPr>
        <w:tc>
          <w:tcPr>
            <w:tcW w:type="dxa" w:w="1900"/>
            <w:tcMar>
              <w:top w:w="80" w:type="dxa"/>
              <w:start w:w="120" w:type="dxa"/>
              <w:bottom w:w="80" w:type="dxa"/>
              <w:end w:w="120" w:type="dxa"/>
            </w:tcMar>
            <w:vAlign w:val="center"/>
          </w:tcPr>
          <w:p>
            <w:pPr>
              <w:pStyle w:val="TableText"/>
            </w:pPr>
            <w:r>
              <w:rPr>
                <w:rFonts w:ascii="Calibri" w:hAnsi="Calibri"/>
                <w:sz w:val="19"/>
              </w:rPr>
              <w:t>Source</w:t>
            </w:r>
          </w:p>
        </w:tc>
        <w:tc>
          <w:tcPr>
            <w:tcW w:type="dxa" w:w="2900"/>
            <w:tcMar>
              <w:top w:w="80" w:type="dxa"/>
              <w:start w:w="120" w:type="dxa"/>
              <w:bottom w:w="80" w:type="dxa"/>
              <w:end w:w="120" w:type="dxa"/>
            </w:tcMar>
            <w:vAlign w:val="center"/>
          </w:tcPr>
          <w:p>
            <w:pPr>
              <w:pStyle w:val="TableText"/>
            </w:pPr>
            <w:r>
              <w:rPr>
                <w:rFonts w:ascii="Calibri" w:hAnsi="Calibri"/>
                <w:sz w:val="19"/>
              </w:rPr>
              <w:t>Minimal provenance for a public page or search result.</w:t>
            </w:r>
          </w:p>
        </w:tc>
        <w:tc>
          <w:tcPr>
            <w:tcW w:type="dxa" w:w="4560"/>
            <w:tcMar>
              <w:top w:w="80" w:type="dxa"/>
              <w:start w:w="120" w:type="dxa"/>
              <w:bottom w:w="80" w:type="dxa"/>
              <w:end w:w="120" w:type="dxa"/>
            </w:tcMar>
            <w:vAlign w:val="center"/>
          </w:tcPr>
          <w:p>
            <w:pPr>
              <w:pStyle w:val="TableText"/>
            </w:pPr>
            <w:r>
              <w:rPr>
                <w:rFonts w:ascii="Calibri" w:hAnsi="Calibri"/>
                <w:sz w:val="19"/>
              </w:rPr>
              <w:t>URL, title/publisher, dates when available, verified excerpt, supported claim, credibility note, limitation, and fingerprint. Never a complete page.</w:t>
            </w:r>
          </w:p>
        </w:tc>
      </w:tr>
      <w:tr>
        <w:trPr>
          <w:cantSplit w:val="true"/>
        </w:trPr>
        <w:tc>
          <w:tcPr>
            <w:tcW w:type="dxa" w:w="1900"/>
            <w:tcMar>
              <w:top w:w="80" w:type="dxa"/>
              <w:start w:w="120" w:type="dxa"/>
              <w:bottom w:w="80" w:type="dxa"/>
              <w:end w:w="120" w:type="dxa"/>
            </w:tcMar>
            <w:vAlign w:val="center"/>
          </w:tcPr>
          <w:p>
            <w:pPr>
              <w:pStyle w:val="TableText"/>
            </w:pPr>
            <w:r>
              <w:rPr>
                <w:rFonts w:ascii="Calibri" w:hAnsi="Calibri"/>
                <w:sz w:val="19"/>
              </w:rPr>
              <w:t>Problem signal</w:t>
            </w:r>
          </w:p>
        </w:tc>
        <w:tc>
          <w:tcPr>
            <w:tcW w:type="dxa" w:w="2900"/>
            <w:tcMar>
              <w:top w:w="80" w:type="dxa"/>
              <w:start w:w="120" w:type="dxa"/>
              <w:bottom w:w="80" w:type="dxa"/>
              <w:end w:w="120" w:type="dxa"/>
            </w:tcMar>
            <w:vAlign w:val="center"/>
          </w:tcPr>
          <w:p>
            <w:pPr>
              <w:pStyle w:val="TableText"/>
            </w:pPr>
            <w:r>
              <w:rPr>
                <w:rFonts w:ascii="Calibri" w:hAnsi="Calibri"/>
                <w:sz w:val="19"/>
              </w:rPr>
              <w:t>Structured observation of an inefficient workflow or unmet need.</w:t>
            </w:r>
          </w:p>
        </w:tc>
        <w:tc>
          <w:tcPr>
            <w:tcW w:type="dxa" w:w="4560"/>
            <w:tcMar>
              <w:top w:w="80" w:type="dxa"/>
              <w:start w:w="120" w:type="dxa"/>
              <w:bottom w:w="80" w:type="dxa"/>
              <w:end w:w="120" w:type="dxa"/>
            </w:tcMar>
            <w:vAlign w:val="center"/>
          </w:tcPr>
          <w:p>
            <w:pPr>
              <w:pStyle w:val="TableText"/>
            </w:pPr>
            <w:r>
              <w:rPr>
                <w:rFonts w:ascii="Calibri" w:hAnsi="Calibri"/>
                <w:sz w:val="19"/>
              </w:rPr>
              <w:t>Role, workflow, workaround, consequence, evidence references, and confidence. Retained only when it supports a durable opportunity.</w:t>
            </w:r>
          </w:p>
        </w:tc>
      </w:tr>
      <w:tr>
        <w:trPr>
          <w:cantSplit w:val="true"/>
        </w:trPr>
        <w:tc>
          <w:tcPr>
            <w:tcW w:type="dxa" w:w="1900"/>
            <w:tcMar>
              <w:top w:w="80" w:type="dxa"/>
              <w:start w:w="120" w:type="dxa"/>
              <w:bottom w:w="80" w:type="dxa"/>
              <w:end w:w="120" w:type="dxa"/>
            </w:tcMar>
            <w:vAlign w:val="center"/>
          </w:tcPr>
          <w:p>
            <w:pPr>
              <w:pStyle w:val="TableText"/>
            </w:pPr>
            <w:r>
              <w:rPr>
                <w:rFonts w:ascii="Calibri" w:hAnsi="Calibri"/>
                <w:sz w:val="19"/>
              </w:rPr>
              <w:t>Problem pattern</w:t>
            </w:r>
          </w:p>
        </w:tc>
        <w:tc>
          <w:tcPr>
            <w:tcW w:type="dxa" w:w="2900"/>
            <w:tcMar>
              <w:top w:w="80" w:type="dxa"/>
              <w:start w:w="120" w:type="dxa"/>
              <w:bottom w:w="80" w:type="dxa"/>
              <w:end w:w="120" w:type="dxa"/>
            </w:tcMar>
            <w:vAlign w:val="center"/>
          </w:tcPr>
          <w:p>
            <w:pPr>
              <w:pStyle w:val="TableText"/>
            </w:pPr>
            <w:r>
              <w:rPr>
                <w:rFonts w:ascii="Calibri" w:hAnsi="Calibri"/>
                <w:sz w:val="19"/>
              </w:rPr>
              <w:t>Normalized cross-industry abstraction over related signals.</w:t>
            </w:r>
          </w:p>
        </w:tc>
        <w:tc>
          <w:tcPr>
            <w:tcW w:type="dxa" w:w="4560"/>
            <w:tcMar>
              <w:top w:w="80" w:type="dxa"/>
              <w:start w:w="120" w:type="dxa"/>
              <w:bottom w:w="80" w:type="dxa"/>
              <w:end w:w="120" w:type="dxa"/>
            </w:tcMar>
            <w:vAlign w:val="center"/>
          </w:tcPr>
          <w:p>
            <w:pPr>
              <w:pStyle w:val="TableText"/>
            </w:pPr>
            <w:r>
              <w:rPr>
                <w:rFonts w:ascii="Calibri" w:hAnsi="Calibri"/>
                <w:sz w:val="19"/>
              </w:rPr>
              <w:t>Summary, affected roles/workflows, evidence references, embedding, and fingerprint. Retained only when it supports a durable opportunity.</w:t>
            </w:r>
          </w:p>
        </w:tc>
      </w:tr>
      <w:tr>
        <w:trPr>
          <w:cantSplit w:val="true"/>
        </w:trPr>
        <w:tc>
          <w:tcPr>
            <w:tcW w:type="dxa" w:w="1900"/>
            <w:tcMar>
              <w:top w:w="80" w:type="dxa"/>
              <w:start w:w="120" w:type="dxa"/>
              <w:bottom w:w="80" w:type="dxa"/>
              <w:end w:w="120" w:type="dxa"/>
            </w:tcMar>
            <w:vAlign w:val="center"/>
          </w:tcPr>
          <w:p>
            <w:pPr>
              <w:pStyle w:val="TableText"/>
            </w:pPr>
            <w:r>
              <w:rPr>
                <w:rFonts w:ascii="Calibri" w:hAnsi="Calibri"/>
                <w:sz w:val="19"/>
              </w:rPr>
              <w:t>Opportunity</w:t>
            </w:r>
          </w:p>
        </w:tc>
        <w:tc>
          <w:tcPr>
            <w:tcW w:type="dxa" w:w="2900"/>
            <w:tcMar>
              <w:top w:w="80" w:type="dxa"/>
              <w:start w:w="120" w:type="dxa"/>
              <w:bottom w:w="80" w:type="dxa"/>
              <w:end w:w="120" w:type="dxa"/>
            </w:tcMar>
            <w:vAlign w:val="center"/>
          </w:tcPr>
          <w:p>
            <w:pPr>
              <w:pStyle w:val="TableText"/>
            </w:pPr>
            <w:r>
              <w:rPr>
                <w:rFonts w:ascii="Calibri" w:hAnsi="Calibri"/>
                <w:sz w:val="19"/>
              </w:rPr>
              <w:t>Stable identity and operator-managed state.</w:t>
            </w:r>
          </w:p>
        </w:tc>
        <w:tc>
          <w:tcPr>
            <w:tcW w:type="dxa" w:w="4560"/>
            <w:tcMar>
              <w:top w:w="80" w:type="dxa"/>
              <w:start w:w="120" w:type="dxa"/>
              <w:bottom w:w="80" w:type="dxa"/>
              <w:end w:w="120" w:type="dxa"/>
            </w:tcMar>
            <w:vAlign w:val="center"/>
          </w:tcPr>
          <w:p>
            <w:pPr>
              <w:pStyle w:val="TableText"/>
            </w:pPr>
            <w:r>
              <w:rPr>
                <w:rFonts w:ascii="Calibri" w:hAnsi="Calibri"/>
                <w:sz w:val="19"/>
              </w:rPr>
              <w:t>Current version, primary industry, favorite, note, merge target, and timestamps.</w:t>
            </w:r>
          </w:p>
        </w:tc>
      </w:tr>
      <w:tr>
        <w:trPr>
          <w:cantSplit w:val="true"/>
        </w:trPr>
        <w:tc>
          <w:tcPr>
            <w:tcW w:type="dxa" w:w="1900"/>
            <w:tcMar>
              <w:top w:w="80" w:type="dxa"/>
              <w:start w:w="120" w:type="dxa"/>
              <w:bottom w:w="80" w:type="dxa"/>
              <w:end w:w="120" w:type="dxa"/>
            </w:tcMar>
            <w:vAlign w:val="center"/>
          </w:tcPr>
          <w:p>
            <w:pPr>
              <w:pStyle w:val="TableText"/>
            </w:pPr>
            <w:r>
              <w:rPr>
                <w:rFonts w:ascii="Calibri" w:hAnsi="Calibri"/>
                <w:sz w:val="19"/>
              </w:rPr>
              <w:t>Opportunity version</w:t>
            </w:r>
          </w:p>
        </w:tc>
        <w:tc>
          <w:tcPr>
            <w:tcW w:type="dxa" w:w="2900"/>
            <w:tcMar>
              <w:top w:w="80" w:type="dxa"/>
              <w:start w:w="120" w:type="dxa"/>
              <w:bottom w:w="80" w:type="dxa"/>
              <w:end w:w="120" w:type="dxa"/>
            </w:tcMar>
            <w:vAlign w:val="center"/>
          </w:tcPr>
          <w:p>
            <w:pPr>
              <w:pStyle w:val="TableText"/>
            </w:pPr>
            <w:r>
              <w:rPr>
                <w:rFonts w:ascii="Calibri" w:hAnsi="Calibri"/>
                <w:sz w:val="19"/>
              </w:rPr>
              <w:t>Immutable evaluated snapshot.</w:t>
            </w:r>
          </w:p>
        </w:tc>
        <w:tc>
          <w:tcPr>
            <w:tcW w:type="dxa" w:w="4560"/>
            <w:tcMar>
              <w:top w:w="80" w:type="dxa"/>
              <w:start w:w="120" w:type="dxa"/>
              <w:bottom w:w="80" w:type="dxa"/>
              <w:end w:w="120" w:type="dxa"/>
            </w:tcMar>
            <w:vAlign w:val="center"/>
          </w:tcPr>
          <w:p>
            <w:pPr>
              <w:pStyle w:val="TableText"/>
            </w:pPr>
            <w:r>
              <w:rPr>
                <w:rFonts w:ascii="Calibri" w:hAnsi="Calibri"/>
                <w:sz w:val="19"/>
              </w:rPr>
              <w:t>Problem, segment, buyer, solution, evidence, scores, verdict, embedding/model identifiers, workflow/prompt versions, and report.</w:t>
            </w:r>
          </w:p>
        </w:tc>
      </w:tr>
      <w:tr>
        <w:trPr>
          <w:cantSplit w:val="true"/>
        </w:trPr>
        <w:tc>
          <w:tcPr>
            <w:tcW w:type="dxa" w:w="1900"/>
            <w:tcMar>
              <w:top w:w="80" w:type="dxa"/>
              <w:start w:w="120" w:type="dxa"/>
              <w:bottom w:w="80" w:type="dxa"/>
              <w:end w:w="120" w:type="dxa"/>
            </w:tcMar>
            <w:vAlign w:val="center"/>
          </w:tcPr>
          <w:p>
            <w:pPr>
              <w:pStyle w:val="TableText"/>
            </w:pPr>
            <w:r>
              <w:rPr>
                <w:rFonts w:ascii="Calibri" w:hAnsi="Calibri"/>
                <w:sz w:val="19"/>
              </w:rPr>
              <w:t>Relation/event</w:t>
            </w:r>
          </w:p>
        </w:tc>
        <w:tc>
          <w:tcPr>
            <w:tcW w:type="dxa" w:w="2900"/>
            <w:tcMar>
              <w:top w:w="80" w:type="dxa"/>
              <w:start w:w="120" w:type="dxa"/>
              <w:bottom w:w="80" w:type="dxa"/>
              <w:end w:w="120" w:type="dxa"/>
            </w:tcMar>
            <w:vAlign w:val="center"/>
          </w:tcPr>
          <w:p>
            <w:pPr>
              <w:pStyle w:val="TableText"/>
            </w:pPr>
            <w:r>
              <w:rPr>
                <w:rFonts w:ascii="Calibri" w:hAnsi="Calibri"/>
                <w:sz w:val="19"/>
              </w:rPr>
              <w:t>Cross-run and lifecycle history.</w:t>
            </w:r>
          </w:p>
        </w:tc>
        <w:tc>
          <w:tcPr>
            <w:tcW w:type="dxa" w:w="4560"/>
            <w:tcMar>
              <w:top w:w="80" w:type="dxa"/>
              <w:start w:w="120" w:type="dxa"/>
              <w:bottom w:w="80" w:type="dxa"/>
              <w:end w:w="120" w:type="dxa"/>
            </w:tcMar>
            <w:vAlign w:val="center"/>
          </w:tcPr>
          <w:p>
            <w:pPr>
              <w:pStyle w:val="TableText"/>
            </w:pPr>
            <w:r>
              <w:rPr>
                <w:rFonts w:ascii="Calibri" w:hAnsi="Calibri"/>
                <w:sz w:val="19"/>
              </w:rPr>
              <w:t>Related links, discovery classification, similarity, rediscovery, update, merge, and reversal events.</w:t>
            </w:r>
          </w:p>
        </w:tc>
      </w:tr>
    </w:tbl>
    <w:p>
      <w:pPr>
        <w:spacing w:after="0" w:line="120" w:lineRule="auto"/>
      </w:pPr>
    </w:p>
    <w:p>
      <w:pPr>
        <w:pStyle w:val="Heading2"/>
        <w:keepNext/>
      </w:pPr>
      <w:r>
        <w:t>4.3 Identity rule</w:t>
      </w:r>
    </w:p>
    <w:p>
      <w:r>
        <w:rPr>
          <w:rFonts w:ascii="Calibri" w:hAnsi="Calibri"/>
        </w:rPr>
        <w:t>Opportunity identity includes the normalized problem pattern, proposed solution, target segment, buyer, and workflow. The same horizontal capability applied to materially different customer segments normally creates separate Related opportunities.</w:t>
      </w:r>
    </w:p>
    <w:p>
      <w:pPr>
        <w:pStyle w:val="Heading1"/>
        <w:keepNext/>
      </w:pPr>
      <w:r>
        <w:t>5. Two-pass research workflow</w:t>
      </w:r>
    </w:p>
    <w:p>
      <w:pPr>
        <w:pStyle w:val="Heading2"/>
        <w:keepNext/>
      </w:pPr>
      <w:r>
        <w:t>5.1 Workflow at a glance</w:t>
      </w:r>
    </w:p>
    <w:p>
      <w:pPr>
        <w:numPr>
          <w:ilvl w:val="0"/>
          <w:numId w:val="11"/>
        </w:numPr>
        <w:spacing w:after="160" w:line="280" w:lineRule="auto"/>
      </w:pPr>
      <w:r>
        <w:rPr>
          <w:rFonts w:ascii="Calibri" w:hAnsi="Calibri"/>
        </w:rPr>
        <w:t>Validate required local services and saved configuration, then create a backend-owned run with a configuration snapshot.</w:t>
      </w:r>
    </w:p>
    <w:p>
      <w:pPr>
        <w:numPr>
          <w:ilvl w:val="0"/>
          <w:numId w:val="11"/>
        </w:numPr>
        <w:spacing w:after="160" w:line="280" w:lineRule="auto"/>
      </w:pPr>
      <w:r>
        <w:rPr>
          <w:rFonts w:ascii="Calibri" w:hAnsi="Calibri"/>
        </w:rPr>
        <w:t>Plan bounded discovery queries for explicit complaints, manual work, fragmented tools, expensive workarounds, repetitive information handling, and recurring requests for automation.</w:t>
      </w:r>
    </w:p>
    <w:p>
      <w:pPr>
        <w:numPr>
          <w:ilvl w:val="0"/>
          <w:numId w:val="11"/>
        </w:numPr>
        <w:spacing w:after="160" w:line="280" w:lineRule="auto"/>
      </w:pPr>
      <w:r>
        <w:rPr>
          <w:rFonts w:ascii="Calibri" w:hAnsi="Calibri"/>
        </w:rPr>
        <w:t>Search through the local SearXNG JSON endpoint, deduplicate results, and retrieve a bounded subset through the restricted source client.</w:t>
      </w:r>
    </w:p>
    <w:p>
      <w:pPr>
        <w:numPr>
          <w:ilvl w:val="0"/>
          <w:numId w:val="11"/>
        </w:numPr>
        <w:spacing w:after="160" w:line="280" w:lineRule="auto"/>
      </w:pPr>
      <w:r>
        <w:rPr>
          <w:rFonts w:ascii="Calibri" w:hAnsi="Calibri"/>
        </w:rPr>
        <w:t>Extract normalized problem signals with claim-linked evidence; reject invalid or unsupported model output.</w:t>
      </w:r>
    </w:p>
    <w:p>
      <w:pPr>
        <w:numPr>
          <w:ilvl w:val="0"/>
          <w:numId w:val="11"/>
        </w:numPr>
        <w:spacing w:after="160" w:line="280" w:lineRule="auto"/>
      </w:pPr>
      <w:r>
        <w:rPr>
          <w:rFonts w:ascii="Calibri" w:hAnsi="Calibri"/>
        </w:rPr>
        <w:t>Fingerprint and cluster related signals into cross-industry problem patterns using deterministic normalization and pgvector exact similarity search.</w:t>
      </w:r>
    </w:p>
    <w:p>
      <w:pPr>
        <w:numPr>
          <w:ilvl w:val="0"/>
          <w:numId w:val="11"/>
        </w:numPr>
        <w:spacing w:after="160" w:line="280" w:lineRule="auto"/>
      </w:pPr>
      <w:r>
        <w:rPr>
          <w:rFonts w:ascii="Calibri" w:hAnsi="Calibri"/>
        </w:rPr>
        <w:t>Map each strong pattern to plausible customer segments, users, buyers, workflow frequency, value, constraints, and reachability.</w:t>
      </w:r>
    </w:p>
    <w:p>
      <w:pPr>
        <w:numPr>
          <w:ilvl w:val="0"/>
          <w:numId w:val="11"/>
        </w:numPr>
        <w:spacing w:after="160" w:line="280" w:lineRule="auto"/>
      </w:pPr>
      <w:r>
        <w:rPr>
          <w:rFonts w:ascii="Calibri" w:hAnsi="Calibri"/>
        </w:rPr>
        <w:t>Apply the preliminary evidence gate. Discard weak problem-and-segment combinations before expensive reasoning.</w:t>
      </w:r>
    </w:p>
    <w:p>
      <w:pPr>
        <w:numPr>
          <w:ilvl w:val="0"/>
          <w:numId w:val="11"/>
        </w:numPr>
        <w:spacing w:after="160" w:line="280" w:lineRule="auto"/>
      </w:pPr>
      <w:r>
        <w:rPr>
          <w:rFonts w:ascii="Calibri" w:hAnsi="Calibri"/>
        </w:rPr>
        <w:t>Create a minimal solution hypothesis for each surviving combination. The hypothesis may be SaaS, API, integration, automation, managed service, consulting, or a non-AI product.</w:t>
      </w:r>
    </w:p>
    <w:p>
      <w:pPr>
        <w:numPr>
          <w:ilvl w:val="0"/>
          <w:numId w:val="11"/>
        </w:numPr>
        <w:spacing w:after="160" w:line="280" w:lineRule="auto"/>
      </w:pPr>
      <w:r>
        <w:rPr>
          <w:rFonts w:ascii="Calibri" w:hAnsi="Calibri"/>
        </w:rPr>
        <w:t>Plan and execute a second bounded search for demand, existing spend, alternatives, competitors, missing capabilities, trust, regulation, integration burden, and incumbent risk.</w:t>
      </w:r>
    </w:p>
    <w:p>
      <w:pPr>
        <w:numPr>
          <w:ilvl w:val="0"/>
          <w:numId w:val="11"/>
        </w:numPr>
        <w:spacing w:after="160" w:line="280" w:lineRule="auto"/>
      </w:pPr>
      <w:r>
        <w:rPr>
          <w:rFonts w:ascii="Calibri" w:hAnsi="Calibri"/>
        </w:rPr>
        <w:t>For each admitted concept in deterministic rank order, produce the final opportunity, critique, deterministic weighted score, verdict, risks, evidence gaps, and next research questions. Continue until five distinct opportunities have committed or no bounded, admissible concept remains.</w:t>
      </w:r>
    </w:p>
    <w:p>
      <w:pPr>
        <w:numPr>
          <w:ilvl w:val="0"/>
          <w:numId w:val="11"/>
        </w:numPr>
        <w:spacing w:after="160" w:line="280" w:lineRule="auto"/>
      </w:pPr>
      <w:r>
        <w:rPr>
          <w:rFonts w:ascii="Calibri" w:hAnsi="Calibri"/>
        </w:rPr>
        <w:t>Compare each complete candidate with prior and current-run opportunities, assign the initial lifecycle classification, and commit it atomically. New and definitely distinct Related opportunities count regardless of verdict; an automatic exact rediscovery, Updated version, or unresolved Possible rediscovery does not count toward the five-opportunity target. Later failure, stop, or limit exhaustion never removes earlier commits.</w:t>
      </w:r>
    </w:p>
    <w:p>
      <w:pPr>
        <w:numPr>
          <w:ilvl w:val="0"/>
          <w:numId w:val="11"/>
        </w:numPr>
        <w:spacing w:after="160" w:line="280" w:lineRule="auto"/>
      </w:pPr>
      <w:r>
        <w:rPr>
          <w:rFonts w:ascii="Calibri" w:hAnsi="Calibri"/>
        </w:rPr>
        <w:t>Delete transient pages, extracted text, prompts, raw model responses, retries, weak patterns, rejected concepts, and incomplete candidates.</w:t>
      </w:r>
    </w:p>
    <w:p>
      <w:pPr>
        <w:pStyle w:val="Heading2"/>
        <w:keepNext/>
      </w:pPr>
      <w:r>
        <w:t>5.2 Preliminary evidence gate</w:t>
      </w:r>
    </w:p>
    <w:p>
      <w:r>
        <w:rPr>
          <w:rFonts w:ascii="Calibri" w:hAnsi="Calibri"/>
        </w:rPr>
        <w:t>A problem-and-segment combination may proceed to full solution and market validation only when the structured record contains all required fields below. The gate is applied by application code; the model cannot waive it.</w:t>
      </w:r>
    </w:p>
    <w:p>
      <w:pPr>
        <w:numPr>
          <w:ilvl w:val="0"/>
          <w:numId w:val="10"/>
        </w:numPr>
        <w:spacing w:after="160" w:line="280" w:lineRule="auto"/>
      </w:pPr>
      <w:r>
        <w:rPr>
          <w:rFonts w:ascii="Calibri" w:hAnsi="Calibri"/>
        </w:rPr>
        <w:t>A recognizable recurring workflow and affected user or role.</w:t>
      </w:r>
    </w:p>
    <w:p>
      <w:pPr>
        <w:numPr>
          <w:ilvl w:val="0"/>
          <w:numId w:val="10"/>
        </w:numPr>
        <w:spacing w:after="160" w:line="280" w:lineRule="auto"/>
      </w:pPr>
      <w:r>
        <w:rPr>
          <w:rFonts w:ascii="Calibri" w:hAnsi="Calibri"/>
        </w:rPr>
        <w:t>A current workaround, fragmented tool chain, manual process, or unmet need.</w:t>
      </w:r>
    </w:p>
    <w:p>
      <w:pPr>
        <w:numPr>
          <w:ilvl w:val="0"/>
          <w:numId w:val="10"/>
        </w:numPr>
        <w:spacing w:after="160" w:line="280" w:lineRule="auto"/>
      </w:pPr>
      <w:r>
        <w:rPr>
          <w:rFonts w:ascii="Calibri" w:hAnsi="Calibri"/>
        </w:rPr>
        <w:t>A plausible business consequence such as delay, error, labor cost, missed revenue, compliance burden, or customer harm.</w:t>
      </w:r>
    </w:p>
    <w:p>
      <w:pPr>
        <w:numPr>
          <w:ilvl w:val="0"/>
          <w:numId w:val="10"/>
        </w:numPr>
        <w:spacing w:after="160" w:line="280" w:lineRule="auto"/>
      </w:pPr>
      <w:r>
        <w:rPr>
          <w:rFonts w:ascii="Calibri" w:hAnsi="Calibri"/>
        </w:rPr>
        <w:t>A plausible buyer, budget owner, or organizational owner for the workflow.</w:t>
      </w:r>
    </w:p>
    <w:p>
      <w:pPr>
        <w:numPr>
          <w:ilvl w:val="0"/>
          <w:numId w:val="10"/>
        </w:numPr>
        <w:spacing w:after="160" w:line="280" w:lineRule="auto"/>
      </w:pPr>
      <w:r>
        <w:rPr>
          <w:rFonts w:ascii="Calibri" w:hAnsi="Calibri"/>
        </w:rPr>
        <w:t>At least two independent problem signals when available. A single exceptional primary source may proceed only with an explicit concentration limitation.</w:t>
      </w:r>
    </w:p>
    <w:p>
      <w:pPr>
        <w:numPr>
          <w:ilvl w:val="0"/>
          <w:numId w:val="10"/>
        </w:numPr>
        <w:spacing w:after="160" w:line="280" w:lineRule="auto"/>
      </w:pPr>
      <w:r>
        <w:rPr>
          <w:rFonts w:ascii="Calibri" w:hAnsi="Calibri"/>
        </w:rPr>
        <w:t>No exact duplicate and sufficient distinction from existing problem patterns.</w:t>
      </w:r>
    </w:p>
    <w:p>
      <w:pPr>
        <w:numPr>
          <w:ilvl w:val="0"/>
          <w:numId w:val="10"/>
        </w:numPr>
        <w:spacing w:after="160" w:line="280" w:lineRule="auto"/>
      </w:pPr>
      <w:r>
        <w:rPr>
          <w:rFonts w:ascii="Calibri" w:hAnsi="Calibri"/>
        </w:rPr>
        <w:t>No unresolved evidence-integrity failure or prohibited source behavior.</w:t>
      </w:r>
    </w:p>
    <w:p>
      <w:pPr>
        <w:pStyle w:val="Heading2"/>
        <w:keepNext/>
      </w:pPr>
      <w:r>
        <w:t>5.3 Bounded funnel</w:t>
      </w:r>
    </w:p>
    <w:p>
      <w:r>
        <w:rPr>
          <w:rFonts w:ascii="Calibri" w:hAnsi="Calibri"/>
        </w:rPr>
        <w:t>The shipped defaults bound every stage: search queries, results per query, unique source candidates, retrieved sources, bytes and redirects per source, problem signals, patterns, segments, concepts, fully validated opportunities, retries, timeouts, per-call tokens, and total run tokens. The five-opportunity target is a protected policy, not permission to fabricate or weaken a gate. Candidate admission reserves enough remaining work for final analysis, similarity, and atomic commit; upstream work cannot consume that reserve. Reaching a hard ceiling stops new work and preserves prior commits. Exhausting a valid bounded candidate pool below five completes with warnings and an explicit shortfall reason.</w:t>
      </w:r>
    </w:p>
    <w:p>
      <w:pPr>
        <w:pStyle w:val="Heading1"/>
        <w:keepNext/>
      </w:pPr>
      <w:r>
        <w:t>6. LangGraph orchestration and agent boundaries</w:t>
      </w:r>
    </w:p>
    <w:p>
      <w:pPr>
        <w:pStyle w:val="Heading2"/>
        <w:keepNext/>
      </w:pPr>
      <w:r>
        <w:t>6.1 Orchestration model</w:t>
      </w:r>
    </w:p>
    <w:p>
      <w:r>
        <w:rPr>
          <w:rFonts w:ascii="Calibri" w:hAnsi="Calibri"/>
        </w:rPr>
        <w:t>LangGraph StateGraph implements one explicit workflow. Routing is determined by validated state, evidence gates, limits, warnings, cancellation, and errors. There is no LLM supervisor and no open-ended loop. The four agents are logical prompt-and-schema roles, not separate processes, memories, or model servers.</w:t>
      </w:r>
    </w:p>
    <w:p>
      <w:pPr>
        <w:pStyle w:val="Heading2"/>
        <w:keepNext/>
      </w:pPr>
      <w:r>
        <w:t>6.2 Agent roles</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100"/>
        <w:gridCol w:w="3300"/>
        <w:gridCol w:w="3960"/>
      </w:tblGrid>
      <w:tr>
        <w:trPr>
          <w:tblHeader w:val="true"/>
          <w:cantSplit w:val="true"/>
        </w:trPr>
        <w:tc>
          <w:tcPr>
            <w:tcW w:type="dxa" w:w="2100"/>
            <w:tcMar>
              <w:top w:w="80" w:type="dxa"/>
              <w:start w:w="120" w:type="dxa"/>
              <w:bottom w:w="80" w:type="dxa"/>
              <w:end w:w="120" w:type="dxa"/>
            </w:tcMar>
            <w:vAlign w:val="center"/>
            <w:shd w:fill="F2F4F7"/>
          </w:tcPr>
          <w:p>
            <w:pPr>
              <w:pStyle w:val="TableText"/>
              <w:keepNext/>
            </w:pPr>
            <w:r>
              <w:rPr>
                <w:rFonts w:ascii="Calibri" w:hAnsi="Calibri"/>
                <w:b/>
                <w:color w:val="0B2545"/>
                <w:sz w:val="19"/>
              </w:rPr>
              <w:t>Agent role</w:t>
            </w:r>
          </w:p>
        </w:tc>
        <w:tc>
          <w:tcPr>
            <w:tcW w:type="dxa" w:w="3300"/>
            <w:tcMar>
              <w:top w:w="80" w:type="dxa"/>
              <w:start w:w="120" w:type="dxa"/>
              <w:bottom w:w="80" w:type="dxa"/>
              <w:end w:w="120" w:type="dxa"/>
            </w:tcMar>
            <w:vAlign w:val="center"/>
            <w:shd w:fill="F2F4F7"/>
          </w:tcPr>
          <w:p>
            <w:pPr>
              <w:pStyle w:val="TableText"/>
              <w:keepNext/>
            </w:pPr>
            <w:r>
              <w:rPr>
                <w:rFonts w:ascii="Calibri" w:hAnsi="Calibri"/>
                <w:b/>
                <w:color w:val="0B2545"/>
                <w:sz w:val="19"/>
              </w:rPr>
              <w:t>Responsibility</w:t>
            </w:r>
          </w:p>
        </w:tc>
        <w:tc>
          <w:tcPr>
            <w:tcW w:type="dxa" w:w="3960"/>
            <w:tcMar>
              <w:top w:w="80" w:type="dxa"/>
              <w:start w:w="120" w:type="dxa"/>
              <w:bottom w:w="80" w:type="dxa"/>
              <w:end w:w="120" w:type="dxa"/>
            </w:tcMar>
            <w:vAlign w:val="center"/>
            <w:shd w:fill="F2F4F7"/>
          </w:tcPr>
          <w:p>
            <w:pPr>
              <w:pStyle w:val="TableText"/>
              <w:keepNext/>
            </w:pPr>
            <w:r>
              <w:rPr>
                <w:rFonts w:ascii="Calibri" w:hAnsi="Calibri"/>
                <w:b/>
                <w:color w:val="0B2545"/>
                <w:sz w:val="19"/>
              </w:rPr>
              <w:t>Allowed inputs/tools</w:t>
            </w:r>
          </w:p>
        </w:tc>
      </w:tr>
      <w:tr>
        <w:trPr>
          <w:cantSplit w:val="true"/>
        </w:trPr>
        <w:tc>
          <w:tcPr>
            <w:tcW w:type="dxa" w:w="2100"/>
            <w:tcMar>
              <w:top w:w="80" w:type="dxa"/>
              <w:start w:w="120" w:type="dxa"/>
              <w:bottom w:w="80" w:type="dxa"/>
              <w:end w:w="120" w:type="dxa"/>
            </w:tcMar>
            <w:vAlign w:val="center"/>
          </w:tcPr>
          <w:p>
            <w:pPr>
              <w:pStyle w:val="TableText"/>
            </w:pPr>
            <w:r>
              <w:rPr>
                <w:rFonts w:ascii="Calibri" w:hAnsi="Calibri"/>
                <w:sz w:val="19"/>
              </w:rPr>
              <w:t>Research Planner</w:t>
            </w:r>
          </w:p>
        </w:tc>
        <w:tc>
          <w:tcPr>
            <w:tcW w:type="dxa" w:w="3300"/>
            <w:tcMar>
              <w:top w:w="80" w:type="dxa"/>
              <w:start w:w="120" w:type="dxa"/>
              <w:bottom w:w="80" w:type="dxa"/>
              <w:end w:w="120" w:type="dxa"/>
            </w:tcMar>
            <w:vAlign w:val="center"/>
          </w:tcPr>
          <w:p>
            <w:pPr>
              <w:pStyle w:val="TableText"/>
            </w:pPr>
            <w:r>
              <w:rPr>
                <w:rFonts w:ascii="Calibri" w:hAnsi="Calibri"/>
                <w:sz w:val="19"/>
              </w:rPr>
              <w:t>Create bounded discovery and focused-validation query plans.</w:t>
            </w:r>
          </w:p>
        </w:tc>
        <w:tc>
          <w:tcPr>
            <w:tcW w:type="dxa" w:w="3960"/>
            <w:tcMar>
              <w:top w:w="80" w:type="dxa"/>
              <w:start w:w="120" w:type="dxa"/>
              <w:bottom w:w="80" w:type="dxa"/>
              <w:end w:w="120" w:type="dxa"/>
            </w:tcMar>
            <w:vAlign w:val="center"/>
          </w:tcPr>
          <w:p>
            <w:pPr>
              <w:pStyle w:val="TableText"/>
            </w:pPr>
            <w:r>
              <w:rPr>
                <w:rFonts w:ascii="Calibri" w:hAnsi="Calibri"/>
                <w:sz w:val="19"/>
              </w:rPr>
              <w:t>Saved research settings, structured problem/segment context, and query-planning schema. It does not browse directly.</w:t>
            </w:r>
          </w:p>
        </w:tc>
      </w:tr>
      <w:tr>
        <w:trPr>
          <w:cantSplit w:val="true"/>
        </w:trPr>
        <w:tc>
          <w:tcPr>
            <w:tcW w:type="dxa" w:w="2100"/>
            <w:tcMar>
              <w:top w:w="80" w:type="dxa"/>
              <w:start w:w="120" w:type="dxa"/>
              <w:bottom w:w="80" w:type="dxa"/>
              <w:end w:w="120" w:type="dxa"/>
            </w:tcMar>
            <w:vAlign w:val="center"/>
          </w:tcPr>
          <w:p>
            <w:pPr>
              <w:pStyle w:val="TableText"/>
            </w:pPr>
            <w:r>
              <w:rPr>
                <w:rFonts w:ascii="Calibri" w:hAnsi="Calibri"/>
                <w:sz w:val="19"/>
              </w:rPr>
              <w:t>Problem Analyst</w:t>
            </w:r>
          </w:p>
        </w:tc>
        <w:tc>
          <w:tcPr>
            <w:tcW w:type="dxa" w:w="3300"/>
            <w:tcMar>
              <w:top w:w="80" w:type="dxa"/>
              <w:start w:w="120" w:type="dxa"/>
              <w:bottom w:w="80" w:type="dxa"/>
              <w:end w:w="120" w:type="dxa"/>
            </w:tcMar>
            <w:vAlign w:val="center"/>
          </w:tcPr>
          <w:p>
            <w:pPr>
              <w:pStyle w:val="TableText"/>
            </w:pPr>
            <w:r>
              <w:rPr>
                <w:rFonts w:ascii="Calibri" w:hAnsi="Calibri"/>
                <w:sz w:val="19"/>
              </w:rPr>
              <w:t>Extract evidence-linked signals and synthesize normalized problem patterns.</w:t>
            </w:r>
          </w:p>
        </w:tc>
        <w:tc>
          <w:tcPr>
            <w:tcW w:type="dxa" w:w="3960"/>
            <w:tcMar>
              <w:top w:w="80" w:type="dxa"/>
              <w:start w:w="120" w:type="dxa"/>
              <w:bottom w:w="80" w:type="dxa"/>
              <w:end w:w="120" w:type="dxa"/>
            </w:tcMar>
            <w:vAlign w:val="center"/>
          </w:tcPr>
          <w:p>
            <w:pPr>
              <w:pStyle w:val="TableText"/>
            </w:pPr>
            <w:r>
              <w:rPr>
                <w:rFonts w:ascii="Calibri" w:hAnsi="Calibri"/>
                <w:sz w:val="19"/>
              </w:rPr>
              <w:t>Sanitized retrieved excerpts and source IDs. No database, arbitrary HTTP, or configuration access.</w:t>
            </w:r>
          </w:p>
        </w:tc>
      </w:tr>
      <w:tr>
        <w:trPr>
          <w:cantSplit w:val="true"/>
        </w:trPr>
        <w:tc>
          <w:tcPr>
            <w:tcW w:type="dxa" w:w="2100"/>
            <w:tcMar>
              <w:top w:w="80" w:type="dxa"/>
              <w:start w:w="120" w:type="dxa"/>
              <w:bottom w:w="80" w:type="dxa"/>
              <w:end w:w="120" w:type="dxa"/>
            </w:tcMar>
            <w:vAlign w:val="center"/>
          </w:tcPr>
          <w:p>
            <w:pPr>
              <w:pStyle w:val="TableText"/>
            </w:pPr>
            <w:r>
              <w:rPr>
                <w:rFonts w:ascii="Calibri" w:hAnsi="Calibri"/>
                <w:sz w:val="19"/>
              </w:rPr>
              <w:t>Product Strategist</w:t>
            </w:r>
          </w:p>
        </w:tc>
        <w:tc>
          <w:tcPr>
            <w:tcW w:type="dxa" w:w="3300"/>
            <w:tcMar>
              <w:top w:w="80" w:type="dxa"/>
              <w:start w:w="120" w:type="dxa"/>
              <w:bottom w:w="80" w:type="dxa"/>
              <w:end w:w="120" w:type="dxa"/>
            </w:tcMar>
            <w:vAlign w:val="center"/>
          </w:tcPr>
          <w:p>
            <w:pPr>
              <w:pStyle w:val="TableText"/>
            </w:pPr>
            <w:r>
              <w:rPr>
                <w:rFonts w:ascii="Calibri" w:hAnsi="Calibri"/>
                <w:sz w:val="19"/>
              </w:rPr>
              <w:t>Map segments and create minimal solution hypotheses after the evidence gate.</w:t>
            </w:r>
          </w:p>
        </w:tc>
        <w:tc>
          <w:tcPr>
            <w:tcW w:type="dxa" w:w="3960"/>
            <w:tcMar>
              <w:top w:w="80" w:type="dxa"/>
              <w:start w:w="120" w:type="dxa"/>
              <w:bottom w:w="80" w:type="dxa"/>
              <w:end w:w="120" w:type="dxa"/>
            </w:tcMar>
            <w:vAlign w:val="center"/>
          </w:tcPr>
          <w:p>
            <w:pPr>
              <w:pStyle w:val="TableText"/>
            </w:pPr>
            <w:r>
              <w:rPr>
                <w:rFonts w:ascii="Calibri" w:hAnsi="Calibri"/>
                <w:sz w:val="19"/>
              </w:rPr>
              <w:t>Validated pattern, signals, segment schema, Pensae preferred technologies, and constraints. No persistence access.</w:t>
            </w:r>
          </w:p>
        </w:tc>
      </w:tr>
      <w:tr>
        <w:trPr>
          <w:cantSplit w:val="true"/>
        </w:trPr>
        <w:tc>
          <w:tcPr>
            <w:tcW w:type="dxa" w:w="2100"/>
            <w:tcMar>
              <w:top w:w="80" w:type="dxa"/>
              <w:start w:w="120" w:type="dxa"/>
              <w:bottom w:w="80" w:type="dxa"/>
              <w:end w:w="120" w:type="dxa"/>
            </w:tcMar>
            <w:vAlign w:val="center"/>
          </w:tcPr>
          <w:p>
            <w:pPr>
              <w:pStyle w:val="TableText"/>
            </w:pPr>
            <w:r>
              <w:rPr>
                <w:rFonts w:ascii="Calibri" w:hAnsi="Calibri"/>
                <w:sz w:val="19"/>
              </w:rPr>
              <w:t>Opportunity Analyst</w:t>
            </w:r>
          </w:p>
        </w:tc>
        <w:tc>
          <w:tcPr>
            <w:tcW w:type="dxa" w:w="3300"/>
            <w:tcMar>
              <w:top w:w="80" w:type="dxa"/>
              <w:start w:w="120" w:type="dxa"/>
              <w:bottom w:w="80" w:type="dxa"/>
              <w:end w:w="120" w:type="dxa"/>
            </w:tcMar>
            <w:vAlign w:val="center"/>
          </w:tcPr>
          <w:p>
            <w:pPr>
              <w:pStyle w:val="TableText"/>
            </w:pPr>
            <w:r>
              <w:rPr>
                <w:rFonts w:ascii="Calibri" w:hAnsi="Calibri"/>
                <w:sz w:val="19"/>
              </w:rPr>
              <w:t>Analyze demand and alternatives, critique the opportunity, propose sub-scores, and write the final structured report.</w:t>
            </w:r>
          </w:p>
        </w:tc>
        <w:tc>
          <w:tcPr>
            <w:tcW w:type="dxa" w:w="3960"/>
            <w:tcMar>
              <w:top w:w="80" w:type="dxa"/>
              <w:start w:w="120" w:type="dxa"/>
              <w:bottom w:w="80" w:type="dxa"/>
              <w:end w:w="120" w:type="dxa"/>
            </w:tcMar>
            <w:vAlign w:val="center"/>
          </w:tcPr>
          <w:p>
            <w:pPr>
              <w:pStyle w:val="TableText"/>
            </w:pPr>
            <w:r>
              <w:rPr>
                <w:rFonts w:ascii="Calibri" w:hAnsi="Calibri"/>
                <w:sz w:val="19"/>
              </w:rPr>
              <w:t>Validated evidence packages and opportunity schema. No external tools or direct database writes.</w:t>
            </w:r>
          </w:p>
        </w:tc>
      </w:tr>
    </w:tbl>
    <w:p>
      <w:pPr>
        <w:spacing w:after="0" w:line="120" w:lineRule="auto"/>
      </w:pPr>
    </w:p>
    <w:p>
      <w:pPr>
        <w:pStyle w:val="Heading2"/>
        <w:keepNext/>
      </w:pPr>
      <w:r>
        <w:t>6.3 Deterministic services</w:t>
      </w:r>
    </w:p>
    <w:p>
      <w:pPr>
        <w:numPr>
          <w:ilvl w:val="0"/>
          <w:numId w:val="10"/>
        </w:numPr>
        <w:spacing w:after="160" w:line="280" w:lineRule="auto"/>
      </w:pPr>
      <w:r>
        <w:rPr>
          <w:rFonts w:ascii="Calibri" w:hAnsi="Calibri"/>
        </w:rPr>
        <w:t>SearXNG search client and safe source retriever.</w:t>
      </w:r>
    </w:p>
    <w:p>
      <w:pPr>
        <w:numPr>
          <w:ilvl w:val="0"/>
          <w:numId w:val="10"/>
        </w:numPr>
        <w:spacing w:after="160" w:line="280" w:lineRule="auto"/>
      </w:pPr>
      <w:r>
        <w:rPr>
          <w:rFonts w:ascii="Calibri" w:hAnsi="Calibri"/>
        </w:rPr>
        <w:t>URL, DNS, redirect, content-type, size, and excerpt verification.</w:t>
      </w:r>
    </w:p>
    <w:p>
      <w:pPr>
        <w:numPr>
          <w:ilvl w:val="0"/>
          <w:numId w:val="10"/>
        </w:numPr>
        <w:spacing w:after="160" w:line="280" w:lineRule="auto"/>
      </w:pPr>
      <w:r>
        <w:rPr>
          <w:rFonts w:ascii="Calibri" w:hAnsi="Calibri"/>
        </w:rPr>
        <w:t>Pydantic validation and one bounded model-output repair attempt.</w:t>
      </w:r>
    </w:p>
    <w:p>
      <w:pPr>
        <w:numPr>
          <w:ilvl w:val="0"/>
          <w:numId w:val="10"/>
        </w:numPr>
        <w:spacing w:after="160" w:line="280" w:lineRule="auto"/>
      </w:pPr>
      <w:r>
        <w:rPr>
          <w:rFonts w:ascii="Calibri" w:hAnsi="Calibri"/>
        </w:rPr>
        <w:t>Token, query, candidate, retry, and timeout accounting.</w:t>
      </w:r>
    </w:p>
    <w:p>
      <w:pPr>
        <w:numPr>
          <w:ilvl w:val="0"/>
          <w:numId w:val="10"/>
        </w:numPr>
        <w:spacing w:after="160" w:line="280" w:lineRule="auto"/>
      </w:pPr>
      <w:r>
        <w:rPr>
          <w:rFonts w:ascii="Calibri" w:hAnsi="Calibri"/>
        </w:rPr>
        <w:t>Fingerprinting, embedding calls, pgvector similarity, relation selection, and fixed score arithmetic.</w:t>
      </w:r>
    </w:p>
    <w:p>
      <w:pPr>
        <w:numPr>
          <w:ilvl w:val="0"/>
          <w:numId w:val="10"/>
        </w:numPr>
        <w:spacing w:after="160" w:line="280" w:lineRule="auto"/>
      </w:pPr>
      <w:r>
        <w:rPr>
          <w:rFonts w:ascii="Calibri" w:hAnsi="Calibri"/>
        </w:rPr>
        <w:t>Redis progress events, cancellation flag, and reconnect snapshot support.</w:t>
      </w:r>
    </w:p>
    <w:p>
      <w:pPr>
        <w:numPr>
          <w:ilvl w:val="0"/>
          <w:numId w:val="10"/>
        </w:numPr>
        <w:spacing w:after="160" w:line="280" w:lineRule="auto"/>
      </w:pPr>
      <w:r>
        <w:rPr>
          <w:rFonts w:ascii="Calibri" w:hAnsi="Calibri"/>
        </w:rPr>
        <w:t>PostgreSQL transactions, immutable versions, merge/update events, retention, and deletion.</w:t>
      </w:r>
    </w:p>
    <w:p>
      <w:pPr>
        <w:numPr>
          <w:ilvl w:val="0"/>
          <w:numId w:val="10"/>
        </w:numPr>
        <w:spacing w:after="160" w:line="280" w:lineRule="auto"/>
      </w:pPr>
      <w:r>
        <w:rPr>
          <w:rFonts w:ascii="Calibri" w:hAnsi="Calibri"/>
        </w:rPr>
        <w:t>Logging, redaction, dependency health checks, and terminal cleanup.</w:t>
      </w:r>
    </w:p>
    <w:p>
      <w:pPr>
        <w:pStyle w:val="Heading2"/>
        <w:keepNext/>
      </w:pPr>
      <w:r>
        <w:t>6.4 Structured output contract</w:t>
      </w:r>
    </w:p>
    <w:p>
      <w:pPr>
        <w:numPr>
          <w:ilvl w:val="0"/>
          <w:numId w:val="10"/>
        </w:numPr>
        <w:spacing w:after="160" w:line="280" w:lineRule="auto"/>
      </w:pPr>
      <w:r>
        <w:rPr>
          <w:rFonts w:ascii="Calibri" w:hAnsi="Calibri"/>
        </w:rPr>
        <w:t>Every agent returns schema-constrained JSON and no free-form payload is trusted as a completed business record.</w:t>
      </w:r>
    </w:p>
    <w:p>
      <w:pPr>
        <w:numPr>
          <w:ilvl w:val="0"/>
          <w:numId w:val="10"/>
        </w:numPr>
        <w:spacing w:after="160" w:line="280" w:lineRule="auto"/>
      </w:pPr>
      <w:r>
        <w:rPr>
          <w:rFonts w:ascii="Calibri" w:hAnsi="Calibri"/>
        </w:rPr>
        <w:t>Invalid output receives at most one repair attempt. Failure after repair discards the candidate or fails the required node according to the error policy.</w:t>
      </w:r>
    </w:p>
    <w:p>
      <w:pPr>
        <w:numPr>
          <w:ilvl w:val="0"/>
          <w:numId w:val="10"/>
        </w:numPr>
        <w:spacing w:after="160" w:line="280" w:lineRule="auto"/>
      </w:pPr>
      <w:r>
        <w:rPr>
          <w:rFonts w:ascii="Calibri" w:hAnsi="Calibri"/>
        </w:rPr>
        <w:t>Web text is untrusted data. Prompts explicitly delimit it and instruct the model not to follow embedded instructions.</w:t>
      </w:r>
    </w:p>
    <w:p>
      <w:pPr>
        <w:numPr>
          <w:ilvl w:val="0"/>
          <w:numId w:val="10"/>
        </w:numPr>
        <w:spacing w:after="160" w:line="280" w:lineRule="auto"/>
      </w:pPr>
      <w:r>
        <w:rPr>
          <w:rFonts w:ascii="Calibri" w:hAnsi="Calibri"/>
        </w:rPr>
        <w:t>Agent output cannot change workflow routing rules, service endpoints, limits, permissions, model identifiers, or security policy.</w:t>
      </w:r>
    </w:p>
    <w:p>
      <w:pPr>
        <w:numPr>
          <w:ilvl w:val="0"/>
          <w:numId w:val="10"/>
        </w:numPr>
        <w:spacing w:after="160" w:line="280" w:lineRule="auto"/>
      </w:pPr>
      <w:r>
        <w:rPr>
          <w:rFonts w:ascii="Calibri" w:hAnsi="Calibri"/>
        </w:rPr>
        <w:t>The graph state stores compact structured data and identifiers, not full pages or unbounded message history.</w:t>
      </w:r>
    </w:p>
    <w:p>
      <w:pPr>
        <w:pStyle w:val="Heading1"/>
        <w:keepNext/>
      </w:pPr>
      <w:r>
        <w:t>7. Runs, progress, and cancellation</w:t>
      </w:r>
    </w:p>
    <w:p>
      <w:pPr>
        <w:pStyle w:val="Heading2"/>
        <w:keepNext/>
      </w:pPr>
      <w:r>
        <w:t>7.1 Run states</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550"/>
        <w:gridCol w:w="4560"/>
        <w:gridCol w:w="3250"/>
      </w:tblGrid>
      <w:tr>
        <w:trPr>
          <w:tblHeader w:val="true"/>
          <w:cantSplit w:val="true"/>
        </w:trPr>
        <w:tc>
          <w:tcPr>
            <w:tcW w:type="dxa" w:w="1550"/>
            <w:tcMar>
              <w:top w:w="80" w:type="dxa"/>
              <w:start w:w="120" w:type="dxa"/>
              <w:bottom w:w="80" w:type="dxa"/>
              <w:end w:w="120" w:type="dxa"/>
            </w:tcMar>
            <w:vAlign w:val="center"/>
            <w:shd w:fill="F2F4F7"/>
          </w:tcPr>
          <w:p>
            <w:pPr>
              <w:pStyle w:val="TableText"/>
              <w:keepNext/>
            </w:pPr>
            <w:r>
              <w:rPr>
                <w:rFonts w:ascii="Calibri" w:hAnsi="Calibri"/>
                <w:b/>
                <w:color w:val="0B2545"/>
                <w:sz w:val="19"/>
              </w:rPr>
              <w:t>State</w:t>
            </w:r>
          </w:p>
        </w:tc>
        <w:tc>
          <w:tcPr>
            <w:tcW w:type="dxa" w:w="4560"/>
            <w:tcMar>
              <w:top w:w="80" w:type="dxa"/>
              <w:start w:w="120" w:type="dxa"/>
              <w:bottom w:w="80" w:type="dxa"/>
              <w:end w:w="120" w:type="dxa"/>
            </w:tcMar>
            <w:vAlign w:val="center"/>
            <w:shd w:fill="F2F4F7"/>
          </w:tcPr>
          <w:p>
            <w:pPr>
              <w:pStyle w:val="TableText"/>
              <w:keepNext/>
            </w:pPr>
            <w:r>
              <w:rPr>
                <w:rFonts w:ascii="Calibri" w:hAnsi="Calibri"/>
                <w:b/>
                <w:color w:val="0B2545"/>
                <w:sz w:val="19"/>
              </w:rPr>
              <w:t>Meaning</w:t>
            </w:r>
          </w:p>
        </w:tc>
        <w:tc>
          <w:tcPr>
            <w:tcW w:type="dxa" w:w="3250"/>
            <w:tcMar>
              <w:top w:w="80" w:type="dxa"/>
              <w:start w:w="120" w:type="dxa"/>
              <w:bottom w:w="80" w:type="dxa"/>
              <w:end w:w="120" w:type="dxa"/>
            </w:tcMar>
            <w:vAlign w:val="center"/>
            <w:shd w:fill="F2F4F7"/>
          </w:tcPr>
          <w:p>
            <w:pPr>
              <w:pStyle w:val="TableText"/>
              <w:keepNext/>
            </w:pPr>
            <w:r>
              <w:rPr>
                <w:rFonts w:ascii="Calibri" w:hAnsi="Calibri"/>
                <w:b/>
                <w:color w:val="0B2545"/>
                <w:sz w:val="19"/>
              </w:rPr>
              <w:t>Durable outcome</w:t>
            </w:r>
          </w:p>
        </w:tc>
      </w:tr>
      <w:tr>
        <w:trPr>
          <w:cantSplit w:val="true"/>
        </w:trPr>
        <w:tc>
          <w:tcPr>
            <w:tcW w:type="dxa" w:w="1550"/>
            <w:tcMar>
              <w:top w:w="80" w:type="dxa"/>
              <w:start w:w="120" w:type="dxa"/>
              <w:bottom w:w="80" w:type="dxa"/>
              <w:end w:w="120" w:type="dxa"/>
            </w:tcMar>
            <w:vAlign w:val="center"/>
          </w:tcPr>
          <w:p>
            <w:pPr>
              <w:pStyle w:val="TableText"/>
            </w:pPr>
            <w:r>
              <w:rPr>
                <w:rFonts w:ascii="Calibri" w:hAnsi="Calibri"/>
                <w:sz w:val="19"/>
              </w:rPr>
              <w:t>Running</w:t>
            </w:r>
          </w:p>
        </w:tc>
        <w:tc>
          <w:tcPr>
            <w:tcW w:type="dxa" w:w="4560"/>
            <w:tcMar>
              <w:top w:w="80" w:type="dxa"/>
              <w:start w:w="120" w:type="dxa"/>
              <w:bottom w:w="80" w:type="dxa"/>
              <w:end w:w="120" w:type="dxa"/>
            </w:tcMar>
            <w:vAlign w:val="center"/>
          </w:tcPr>
          <w:p>
            <w:pPr>
              <w:pStyle w:val="TableText"/>
            </w:pPr>
            <w:r>
              <w:rPr>
                <w:rFonts w:ascii="Calibri" w:hAnsi="Calibri"/>
                <w:sz w:val="19"/>
              </w:rPr>
              <w:t>The graph is executing the saved configuration snapshot.</w:t>
            </w:r>
          </w:p>
        </w:tc>
        <w:tc>
          <w:tcPr>
            <w:tcW w:type="dxa" w:w="3250"/>
            <w:tcMar>
              <w:top w:w="80" w:type="dxa"/>
              <w:start w:w="120" w:type="dxa"/>
              <w:bottom w:w="80" w:type="dxa"/>
              <w:end w:w="120" w:type="dxa"/>
            </w:tcMar>
            <w:vAlign w:val="center"/>
          </w:tcPr>
          <w:p>
            <w:pPr>
              <w:pStyle w:val="TableText"/>
            </w:pPr>
            <w:r>
              <w:rPr>
                <w:rFonts w:ascii="Calibri" w:hAnsi="Calibri"/>
                <w:sz w:val="19"/>
              </w:rPr>
              <w:t>Previously committed opportunities remain available.</w:t>
            </w:r>
          </w:p>
        </w:tc>
      </w:tr>
      <w:tr>
        <w:trPr>
          <w:cantSplit w:val="true"/>
        </w:trPr>
        <w:tc>
          <w:tcPr>
            <w:tcW w:type="dxa" w:w="1550"/>
            <w:tcMar>
              <w:top w:w="80" w:type="dxa"/>
              <w:start w:w="120" w:type="dxa"/>
              <w:bottom w:w="80" w:type="dxa"/>
              <w:end w:w="120" w:type="dxa"/>
            </w:tcMar>
            <w:vAlign w:val="center"/>
          </w:tcPr>
          <w:p>
            <w:pPr>
              <w:pStyle w:val="TableText"/>
            </w:pPr>
            <w:r>
              <w:rPr>
                <w:rFonts w:ascii="Calibri" w:hAnsi="Calibri"/>
                <w:sz w:val="19"/>
              </w:rPr>
              <w:t>Stopping</w:t>
            </w:r>
          </w:p>
        </w:tc>
        <w:tc>
          <w:tcPr>
            <w:tcW w:type="dxa" w:w="4560"/>
            <w:tcMar>
              <w:top w:w="80" w:type="dxa"/>
              <w:start w:w="120" w:type="dxa"/>
              <w:bottom w:w="80" w:type="dxa"/>
              <w:end w:w="120" w:type="dxa"/>
            </w:tcMar>
            <w:vAlign w:val="center"/>
          </w:tcPr>
          <w:p>
            <w:pPr>
              <w:pStyle w:val="TableText"/>
            </w:pPr>
            <w:r>
              <w:rPr>
                <w:rFonts w:ascii="Calibri" w:hAnsi="Calibri"/>
                <w:sz w:val="19"/>
              </w:rPr>
              <w:t>The Redis cancellation flag is set; no new node, search, retrieval, or model call may begin.</w:t>
            </w:r>
          </w:p>
        </w:tc>
        <w:tc>
          <w:tcPr>
            <w:tcW w:type="dxa" w:w="3250"/>
            <w:tcMar>
              <w:top w:w="80" w:type="dxa"/>
              <w:start w:w="120" w:type="dxa"/>
              <w:bottom w:w="80" w:type="dxa"/>
              <w:end w:w="120" w:type="dxa"/>
            </w:tcMar>
            <w:vAlign w:val="center"/>
          </w:tcPr>
          <w:p>
            <w:pPr>
              <w:pStyle w:val="TableText"/>
            </w:pPr>
            <w:r>
              <w:rPr>
                <w:rFonts w:ascii="Calibri" w:hAnsi="Calibri"/>
                <w:sz w:val="19"/>
              </w:rPr>
              <w:t>The active operation may finish or time out; the incomplete candidate remains transient.</w:t>
            </w:r>
          </w:p>
        </w:tc>
      </w:tr>
      <w:tr>
        <w:trPr>
          <w:cantSplit w:val="true"/>
        </w:trPr>
        <w:tc>
          <w:tcPr>
            <w:tcW w:type="dxa" w:w="1550"/>
            <w:tcMar>
              <w:top w:w="80" w:type="dxa"/>
              <w:start w:w="120" w:type="dxa"/>
              <w:bottom w:w="80" w:type="dxa"/>
              <w:end w:w="120" w:type="dxa"/>
            </w:tcMar>
            <w:vAlign w:val="center"/>
          </w:tcPr>
          <w:p>
            <w:pPr>
              <w:pStyle w:val="TableText"/>
            </w:pPr>
            <w:r>
              <w:rPr>
                <w:rFonts w:ascii="Calibri" w:hAnsi="Calibri"/>
                <w:sz w:val="19"/>
              </w:rPr>
              <w:t>Completed</w:t>
            </w:r>
          </w:p>
        </w:tc>
        <w:tc>
          <w:tcPr>
            <w:tcW w:type="dxa" w:w="4560"/>
            <w:tcMar>
              <w:top w:w="80" w:type="dxa"/>
              <w:start w:w="120" w:type="dxa"/>
              <w:bottom w:w="80" w:type="dxa"/>
              <w:end w:w="120" w:type="dxa"/>
            </w:tcMar>
            <w:vAlign w:val="center"/>
          </w:tcPr>
          <w:p>
            <w:pPr>
              <w:pStyle w:val="TableText"/>
            </w:pPr>
            <w:r>
              <w:rPr>
                <w:rFonts w:ascii="Calibri" w:hAnsi="Calibri"/>
                <w:sz w:val="19"/>
              </w:rPr>
              <w:t>The bounded graph ended normally without material warnings.</w:t>
            </w:r>
          </w:p>
        </w:tc>
        <w:tc>
          <w:tcPr>
            <w:tcW w:type="dxa" w:w="3250"/>
            <w:tcMar>
              <w:top w:w="80" w:type="dxa"/>
              <w:start w:w="120" w:type="dxa"/>
              <w:bottom w:w="80" w:type="dxa"/>
              <w:end w:w="120" w:type="dxa"/>
            </w:tcMar>
            <w:vAlign w:val="center"/>
          </w:tcPr>
          <w:p>
            <w:pPr>
              <w:pStyle w:val="TableText"/>
            </w:pPr>
            <w:r>
              <w:rPr>
                <w:rFonts w:ascii="Calibri" w:hAnsi="Calibri"/>
                <w:sz w:val="19"/>
              </w:rPr>
              <w:t>All fully validated committed opportunities remain.</w:t>
            </w:r>
          </w:p>
        </w:tc>
      </w:tr>
      <w:tr>
        <w:trPr>
          <w:cantSplit w:val="true"/>
        </w:trPr>
        <w:tc>
          <w:tcPr>
            <w:tcW w:type="dxa" w:w="1550"/>
            <w:tcMar>
              <w:top w:w="80" w:type="dxa"/>
              <w:start w:w="120" w:type="dxa"/>
              <w:bottom w:w="80" w:type="dxa"/>
              <w:end w:w="120" w:type="dxa"/>
            </w:tcMar>
            <w:vAlign w:val="center"/>
          </w:tcPr>
          <w:p>
            <w:pPr>
              <w:pStyle w:val="TableText"/>
            </w:pPr>
            <w:r>
              <w:rPr>
                <w:rFonts w:ascii="Calibri" w:hAnsi="Calibri"/>
                <w:sz w:val="19"/>
              </w:rPr>
              <w:t>Completed with warnings</w:t>
            </w:r>
          </w:p>
        </w:tc>
        <w:tc>
          <w:tcPr>
            <w:tcW w:type="dxa" w:w="4560"/>
            <w:tcMar>
              <w:top w:w="80" w:type="dxa"/>
              <w:start w:w="120" w:type="dxa"/>
              <w:bottom w:w="80" w:type="dxa"/>
              <w:end w:w="120" w:type="dxa"/>
            </w:tcMar>
            <w:vAlign w:val="center"/>
          </w:tcPr>
          <w:p>
            <w:pPr>
              <w:pStyle w:val="TableText"/>
            </w:pPr>
            <w:r>
              <w:rPr>
                <w:rFonts w:ascii="Calibri" w:hAnsi="Calibri"/>
                <w:sz w:val="19"/>
              </w:rPr>
              <w:t>The graph ended but search coverage, individual sources, or non-critical candidates failed.</w:t>
            </w:r>
          </w:p>
        </w:tc>
        <w:tc>
          <w:tcPr>
            <w:tcW w:type="dxa" w:w="3250"/>
            <w:tcMar>
              <w:top w:w="80" w:type="dxa"/>
              <w:start w:w="120" w:type="dxa"/>
              <w:bottom w:w="80" w:type="dxa"/>
              <w:end w:w="120" w:type="dxa"/>
            </w:tcMar>
            <w:vAlign w:val="center"/>
          </w:tcPr>
          <w:p>
            <w:pPr>
              <w:pStyle w:val="TableText"/>
            </w:pPr>
            <w:r>
              <w:rPr>
                <w:rFonts w:ascii="Calibri" w:hAnsi="Calibri"/>
                <w:sz w:val="19"/>
              </w:rPr>
              <w:t>Only opportunities that independently met all retention rules remain.</w:t>
            </w:r>
          </w:p>
        </w:tc>
      </w:tr>
      <w:tr>
        <w:trPr>
          <w:cantSplit w:val="true"/>
        </w:trPr>
        <w:tc>
          <w:tcPr>
            <w:tcW w:type="dxa" w:w="1550"/>
            <w:tcMar>
              <w:top w:w="80" w:type="dxa"/>
              <w:start w:w="120" w:type="dxa"/>
              <w:bottom w:w="80" w:type="dxa"/>
              <w:end w:w="120" w:type="dxa"/>
            </w:tcMar>
            <w:vAlign w:val="center"/>
          </w:tcPr>
          <w:p>
            <w:pPr>
              <w:pStyle w:val="TableText"/>
            </w:pPr>
            <w:r>
              <w:rPr>
                <w:rFonts w:ascii="Calibri" w:hAnsi="Calibri"/>
                <w:sz w:val="19"/>
              </w:rPr>
              <w:t>Stopped</w:t>
            </w:r>
          </w:p>
        </w:tc>
        <w:tc>
          <w:tcPr>
            <w:tcW w:type="dxa" w:w="4560"/>
            <w:tcMar>
              <w:top w:w="80" w:type="dxa"/>
              <w:start w:w="120" w:type="dxa"/>
              <w:bottom w:w="80" w:type="dxa"/>
              <w:end w:w="120" w:type="dxa"/>
            </w:tcMar>
            <w:vAlign w:val="center"/>
          </w:tcPr>
          <w:p>
            <w:pPr>
              <w:pStyle w:val="TableText"/>
            </w:pPr>
            <w:r>
              <w:rPr>
                <w:rFonts w:ascii="Calibri" w:hAnsi="Calibri"/>
                <w:sz w:val="19"/>
              </w:rPr>
              <w:t>The operator, a token/work limit, dependency loss, or application restart ended processing cooperatively.</w:t>
            </w:r>
          </w:p>
        </w:tc>
        <w:tc>
          <w:tcPr>
            <w:tcW w:type="dxa" w:w="3250"/>
            <w:tcMar>
              <w:top w:w="80" w:type="dxa"/>
              <w:start w:w="120" w:type="dxa"/>
              <w:bottom w:w="80" w:type="dxa"/>
              <w:end w:w="120" w:type="dxa"/>
            </w:tcMar>
            <w:vAlign w:val="center"/>
          </w:tcPr>
          <w:p>
            <w:pPr>
              <w:pStyle w:val="TableText"/>
            </w:pPr>
            <w:r>
              <w:rPr>
                <w:rFonts w:ascii="Calibri" w:hAnsi="Calibri"/>
                <w:sz w:val="19"/>
              </w:rPr>
              <w:t>Completed opportunities remain; incomplete work is deleted.</w:t>
            </w:r>
          </w:p>
        </w:tc>
      </w:tr>
      <w:tr>
        <w:trPr>
          <w:cantSplit w:val="true"/>
        </w:trPr>
        <w:tc>
          <w:tcPr>
            <w:tcW w:type="dxa" w:w="1550"/>
            <w:tcMar>
              <w:top w:w="80" w:type="dxa"/>
              <w:start w:w="120" w:type="dxa"/>
              <w:bottom w:w="80" w:type="dxa"/>
              <w:end w:w="120" w:type="dxa"/>
            </w:tcMar>
            <w:vAlign w:val="center"/>
          </w:tcPr>
          <w:p>
            <w:pPr>
              <w:pStyle w:val="TableText"/>
            </w:pPr>
            <w:r>
              <w:rPr>
                <w:rFonts w:ascii="Calibri" w:hAnsi="Calibri"/>
                <w:sz w:val="19"/>
              </w:rPr>
              <w:t>Failed</w:t>
            </w:r>
          </w:p>
        </w:tc>
        <w:tc>
          <w:tcPr>
            <w:tcW w:type="dxa" w:w="4560"/>
            <w:tcMar>
              <w:top w:w="80" w:type="dxa"/>
              <w:start w:w="120" w:type="dxa"/>
              <w:bottom w:w="80" w:type="dxa"/>
              <w:end w:w="120" w:type="dxa"/>
            </w:tcMar>
            <w:vAlign w:val="center"/>
          </w:tcPr>
          <w:p>
            <w:pPr>
              <w:pStyle w:val="TableText"/>
            </w:pPr>
            <w:r>
              <w:rPr>
                <w:rFonts w:ascii="Calibri" w:hAnsi="Calibri"/>
                <w:sz w:val="19"/>
              </w:rPr>
              <w:t>A critical configuration, database, graph, parsing, or required-service error prevented a safe terminal result.</w:t>
            </w:r>
          </w:p>
        </w:tc>
        <w:tc>
          <w:tcPr>
            <w:tcW w:type="dxa" w:w="3250"/>
            <w:tcMar>
              <w:top w:w="80" w:type="dxa"/>
              <w:start w:w="120" w:type="dxa"/>
              <w:bottom w:w="80" w:type="dxa"/>
              <w:end w:w="120" w:type="dxa"/>
            </w:tcMar>
            <w:vAlign w:val="center"/>
          </w:tcPr>
          <w:p>
            <w:pPr>
              <w:pStyle w:val="TableText"/>
            </w:pPr>
            <w:r>
              <w:rPr>
                <w:rFonts w:ascii="Calibri" w:hAnsi="Calibri"/>
                <w:sz w:val="19"/>
              </w:rPr>
              <w:t>Completed commits remain; failed-run processing data and empty run records are deleted; redacted logs rotate.</w:t>
            </w:r>
          </w:p>
        </w:tc>
      </w:tr>
    </w:tbl>
    <w:p>
      <w:pPr>
        <w:spacing w:after="0" w:line="120" w:lineRule="auto"/>
      </w:pPr>
    </w:p>
    <w:p>
      <w:pPr>
        <w:pStyle w:val="Heading2"/>
        <w:keepNext/>
      </w:pPr>
      <w:r>
        <w:t>7.2 Cooperative Stop behavior</w:t>
      </w:r>
    </w:p>
    <w:p>
      <w:pPr>
        <w:numPr>
          <w:ilvl w:val="0"/>
          <w:numId w:val="10"/>
        </w:numPr>
        <w:spacing w:after="160" w:line="280" w:lineRule="auto"/>
      </w:pPr>
      <w:r>
        <w:rPr>
          <w:rFonts w:ascii="Calibri" w:hAnsi="Calibri"/>
        </w:rPr>
        <w:t>Stop sets a Redis cancellation flag immediately and changes the visible state to Stopping.</w:t>
      </w:r>
    </w:p>
    <w:p>
      <w:pPr>
        <w:numPr>
          <w:ilvl w:val="0"/>
          <w:numId w:val="10"/>
        </w:numPr>
        <w:spacing w:after="160" w:line="280" w:lineRule="auto"/>
      </w:pPr>
      <w:r>
        <w:rPr>
          <w:rFonts w:ascii="Calibri" w:hAnsi="Calibri"/>
        </w:rPr>
        <w:t>No new work begins after the flag is observed at a graph boundary or client pre-call check.</w:t>
      </w:r>
    </w:p>
    <w:p>
      <w:pPr>
        <w:numPr>
          <w:ilvl w:val="0"/>
          <w:numId w:val="10"/>
        </w:numPr>
        <w:spacing w:after="160" w:line="280" w:lineRule="auto"/>
      </w:pPr>
      <w:r>
        <w:rPr>
          <w:rFonts w:ascii="Calibri" w:hAnsi="Calibri"/>
        </w:rPr>
        <w:t>An already-running local model, search, or retrieval call is allowed to finish or reach its configured timeout; threads and operating-system processes are not force-killed.</w:t>
      </w:r>
    </w:p>
    <w:p>
      <w:pPr>
        <w:numPr>
          <w:ilvl w:val="0"/>
          <w:numId w:val="10"/>
        </w:numPr>
        <w:spacing w:after="160" w:line="280" w:lineRule="auto"/>
      </w:pPr>
      <w:r>
        <w:rPr>
          <w:rFonts w:ascii="Calibri" w:hAnsi="Calibri"/>
        </w:rPr>
        <w:t>Every fully evaluated opportunity already committed in its own PostgreSQL transaction remains durable.</w:t>
      </w:r>
    </w:p>
    <w:p>
      <w:pPr>
        <w:numPr>
          <w:ilvl w:val="0"/>
          <w:numId w:val="10"/>
        </w:numPr>
        <w:spacing w:after="160" w:line="280" w:lineRule="auto"/>
      </w:pPr>
      <w:r>
        <w:rPr>
          <w:rFonts w:ascii="Calibri" w:hAnsi="Calibri"/>
        </w:rPr>
        <w:t>The incomplete candidate and all temporary processing data are deleted before the run reaches Stopped.</w:t>
      </w:r>
    </w:p>
    <w:p>
      <w:pPr>
        <w:pStyle w:val="Heading2"/>
        <w:keepNext/>
      </w:pPr>
      <w:r>
        <w:t>7.3 Browser reconnection and Redis</w:t>
      </w:r>
    </w:p>
    <w:p>
      <w:r>
        <w:rPr>
          <w:rFonts w:ascii="Calibri" w:hAnsi="Calibri"/>
        </w:rPr>
        <w:t>Closing, refreshing, or navigating away from the browser does not cancel a run. The UI reloads the current backend run snapshot and consumes recent events from a bounded Redis stream. Redis contains only cancellation/control keys and recent progress events with expiration. It never contains permanent opportunities, reports, evidence, embeddings, settings, or logs.</w:t>
      </w:r>
    </w:p>
    <w:p>
      <w:r>
        <w:rPr>
          <w:rFonts w:ascii="Calibri" w:hAnsi="Calibri"/>
        </w:rPr>
        <w:t>Redis is required. If it becomes unavailable during a run, the application must stop safely because progress and cancellation cannot be trusted. Redis is not used as a job queue, vector database, permanent event store, or distributed worker coordinator.</w:t>
      </w:r>
    </w:p>
    <w:p>
      <w:pPr>
        <w:pStyle w:val="Heading1"/>
        <w:keepNext/>
      </w:pPr>
      <w:r>
        <w:t>8. Search, retrieval, and evidence</w:t>
      </w:r>
    </w:p>
    <w:p>
      <w:pPr>
        <w:pStyle w:val="Heading2"/>
        <w:keepNext/>
      </w:pPr>
      <w:r>
        <w:t>8.1 SearXNG boundary</w:t>
      </w:r>
    </w:p>
    <w:p>
      <w:pPr>
        <w:numPr>
          <w:ilvl w:val="0"/>
          <w:numId w:val="10"/>
        </w:numPr>
        <w:spacing w:after="160" w:line="280" w:lineRule="auto"/>
      </w:pPr>
      <w:r>
        <w:rPr>
          <w:rFonts w:ascii="Calibri" w:hAnsi="Calibri"/>
        </w:rPr>
        <w:t>The application uses one self-hosted SearXNG instance through its local JSON endpoint. Public SearXNG instances are unsupported.</w:t>
      </w:r>
    </w:p>
    <w:p>
      <w:pPr>
        <w:numPr>
          <w:ilvl w:val="0"/>
          <w:numId w:val="10"/>
        </w:numPr>
        <w:spacing w:after="160" w:line="280" w:lineRule="auto"/>
      </w:pPr>
      <w:r>
        <w:rPr>
          <w:rFonts w:ascii="Calibri" w:hAnsi="Calibri"/>
        </w:rPr>
        <w:t>SearXNG remains a metasearch layer that sends queries to configured external search engines. Individual engines may rate-limit, block, or return CAPTCHAs.</w:t>
      </w:r>
    </w:p>
    <w:p>
      <w:pPr>
        <w:numPr>
          <w:ilvl w:val="0"/>
          <w:numId w:val="10"/>
        </w:numPr>
        <w:spacing w:after="160" w:line="280" w:lineRule="auto"/>
      </w:pPr>
      <w:r>
        <w:rPr>
          <w:rFonts w:ascii="Calibri" w:hAnsi="Calibri"/>
        </w:rPr>
        <w:t>Only a small tested engine set is enabled. Queries are paced and concurrency is bounded.</w:t>
      </w:r>
    </w:p>
    <w:p>
      <w:pPr>
        <w:numPr>
          <w:ilvl w:val="0"/>
          <w:numId w:val="10"/>
        </w:numPr>
        <w:spacing w:after="160" w:line="280" w:lineRule="auto"/>
      </w:pPr>
      <w:r>
        <w:rPr>
          <w:rFonts w:ascii="Calibri" w:hAnsi="Calibri"/>
        </w:rPr>
        <w:t>Individual engine failures produce warnings. The run may continue only when remaining source coverage satisfies the applicable evidence gate.</w:t>
      </w:r>
    </w:p>
    <w:p>
      <w:pPr>
        <w:numPr>
          <w:ilvl w:val="0"/>
          <w:numId w:val="10"/>
        </w:numPr>
        <w:spacing w:after="160" w:line="280" w:lineRule="auto"/>
      </w:pPr>
      <w:r>
        <w:rPr>
          <w:rFonts w:ascii="Calibri" w:hAnsi="Calibri"/>
        </w:rPr>
        <w:t>There is no paid or secondary search fallback in v2.4.</w:t>
      </w:r>
    </w:p>
    <w:p>
      <w:pPr>
        <w:pStyle w:val="Heading2"/>
        <w:keepNext/>
      </w:pPr>
      <w:r>
        <w:t>8.2 Source retrieval safety</w:t>
      </w:r>
    </w:p>
    <w:p>
      <w:r>
        <w:rPr>
          <w:rFonts w:ascii="Calibri" w:hAnsi="Calibri"/>
        </w:rPr>
        <w:t>The source client may fetch public HTTP/HTTPS URLs returned by search. It blocks local files, unsupported schemes, credentials in URLs, loopback, private, link-local, multicast, metadata, and reserved network targets. DNS resolution and every redirect target are checked before connection. Response bytes, redirects, content types, retries, concurrency, per-domain pacing, and timeouts are bounded.</w:t>
      </w:r>
    </w:p>
    <w:p>
      <w:r>
        <w:rPr>
          <w:rFonts w:ascii="Calibri" w:hAnsi="Calibri"/>
        </w:rPr>
        <w:t>The application does not authenticate to third-party sites, solve CAPTCHAs, evade access controls, or attempt browser automation. Blocked, malformed, oversized, or inaccessible sources are skipped and recorded as warnings.</w:t>
      </w:r>
    </w:p>
    <w:p>
      <w:pPr>
        <w:pStyle w:val="Heading2"/>
        <w:keepNext/>
      </w:pPr>
      <w:r>
        <w:t>8.3 Evidence strength</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700"/>
        <w:gridCol w:w="6660"/>
      </w:tblGrid>
      <w:tr>
        <w:trPr>
          <w:tblHeader w:val="true"/>
          <w:cantSplit w:val="true"/>
        </w:trPr>
        <w:tc>
          <w:tcPr>
            <w:tcW w:type="dxa" w:w="2700"/>
            <w:tcMar>
              <w:top w:w="80" w:type="dxa"/>
              <w:start w:w="120" w:type="dxa"/>
              <w:bottom w:w="80" w:type="dxa"/>
              <w:end w:w="120" w:type="dxa"/>
            </w:tcMar>
            <w:vAlign w:val="center"/>
            <w:shd w:fill="F2F4F7"/>
          </w:tcPr>
          <w:p>
            <w:pPr>
              <w:pStyle w:val="TableText"/>
              <w:keepNext/>
            </w:pPr>
            <w:r>
              <w:rPr>
                <w:rFonts w:ascii="Calibri" w:hAnsi="Calibri"/>
                <w:b/>
                <w:color w:val="0B2545"/>
                <w:sz w:val="19"/>
              </w:rPr>
              <w:t>Evidence form</w:t>
            </w:r>
          </w:p>
        </w:tc>
        <w:tc>
          <w:tcPr>
            <w:tcW w:type="dxa" w:w="6660"/>
            <w:tcMar>
              <w:top w:w="80" w:type="dxa"/>
              <w:start w:w="120" w:type="dxa"/>
              <w:bottom w:w="80" w:type="dxa"/>
              <w:end w:w="120" w:type="dxa"/>
            </w:tcMar>
            <w:vAlign w:val="center"/>
            <w:shd w:fill="F2F4F7"/>
          </w:tcPr>
          <w:p>
            <w:pPr>
              <w:pStyle w:val="TableText"/>
              <w:keepNext/>
            </w:pPr>
            <w:r>
              <w:rPr>
                <w:rFonts w:ascii="Calibri" w:hAnsi="Calibri"/>
                <w:b/>
                <w:color w:val="0B2545"/>
                <w:sz w:val="19"/>
              </w:rPr>
              <w:t>Treatment</w:t>
            </w:r>
          </w:p>
        </w:tc>
      </w:tr>
      <w:tr>
        <w:trPr>
          <w:cantSplit w:val="true"/>
        </w:trPr>
        <w:tc>
          <w:tcPr>
            <w:tcW w:type="dxa" w:w="2700"/>
            <w:tcMar>
              <w:top w:w="80" w:type="dxa"/>
              <w:start w:w="120" w:type="dxa"/>
              <w:bottom w:w="80" w:type="dxa"/>
              <w:end w:w="120" w:type="dxa"/>
            </w:tcMar>
            <w:vAlign w:val="center"/>
          </w:tcPr>
          <w:p>
            <w:pPr>
              <w:pStyle w:val="TableText"/>
            </w:pPr>
            <w:r>
              <w:rPr>
                <w:rFonts w:ascii="Calibri" w:hAnsi="Calibri"/>
                <w:sz w:val="19"/>
              </w:rPr>
              <w:t>Retrieved and verified excerpt</w:t>
            </w:r>
          </w:p>
        </w:tc>
        <w:tc>
          <w:tcPr>
            <w:tcW w:type="dxa" w:w="6660"/>
            <w:tcMar>
              <w:top w:w="80" w:type="dxa"/>
              <w:start w:w="120" w:type="dxa"/>
              <w:bottom w:w="80" w:type="dxa"/>
              <w:end w:w="120" w:type="dxa"/>
            </w:tcMar>
            <w:vAlign w:val="center"/>
          </w:tcPr>
          <w:p>
            <w:pPr>
              <w:pStyle w:val="TableText"/>
            </w:pPr>
            <w:r>
              <w:rPr>
                <w:rFonts w:ascii="Calibri" w:hAnsi="Calibri"/>
                <w:sz w:val="19"/>
              </w:rPr>
              <w:t>Strongest prototype evidence when the exact short excerpt mechanically matches retrieved text after documented normalization.</w:t>
            </w:r>
          </w:p>
        </w:tc>
      </w:tr>
      <w:tr>
        <w:trPr>
          <w:cantSplit w:val="true"/>
        </w:trPr>
        <w:tc>
          <w:tcPr>
            <w:tcW w:type="dxa" w:w="2700"/>
            <w:tcMar>
              <w:top w:w="80" w:type="dxa"/>
              <w:start w:w="120" w:type="dxa"/>
              <w:bottom w:w="80" w:type="dxa"/>
              <w:end w:w="120" w:type="dxa"/>
            </w:tcMar>
            <w:vAlign w:val="center"/>
          </w:tcPr>
          <w:p>
            <w:pPr>
              <w:pStyle w:val="TableText"/>
            </w:pPr>
            <w:r>
              <w:rPr>
                <w:rFonts w:ascii="Calibri" w:hAnsi="Calibri"/>
                <w:sz w:val="19"/>
              </w:rPr>
              <w:t>SearXNG result snippet</w:t>
            </w:r>
          </w:p>
        </w:tc>
        <w:tc>
          <w:tcPr>
            <w:tcW w:type="dxa" w:w="6660"/>
            <w:tcMar>
              <w:top w:w="80" w:type="dxa"/>
              <w:start w:w="120" w:type="dxa"/>
              <w:bottom w:w="80" w:type="dxa"/>
              <w:end w:w="120" w:type="dxa"/>
            </w:tcMar>
            <w:vAlign w:val="center"/>
          </w:tcPr>
          <w:p>
            <w:pPr>
              <w:pStyle w:val="TableText"/>
            </w:pPr>
            <w:r>
              <w:rPr>
                <w:rFonts w:ascii="Calibri" w:hAnsi="Calibri"/>
                <w:sz w:val="19"/>
              </w:rPr>
              <w:t>Weak discovery evidence only. It may support query planning but cannot by itself support a strong material claim or Promising verdict.</w:t>
            </w:r>
          </w:p>
        </w:tc>
      </w:tr>
      <w:tr>
        <w:trPr>
          <w:cantSplit w:val="true"/>
        </w:trPr>
        <w:tc>
          <w:tcPr>
            <w:tcW w:type="dxa" w:w="2700"/>
            <w:tcMar>
              <w:top w:w="80" w:type="dxa"/>
              <w:start w:w="120" w:type="dxa"/>
              <w:bottom w:w="80" w:type="dxa"/>
              <w:end w:w="120" w:type="dxa"/>
            </w:tcMar>
            <w:vAlign w:val="center"/>
          </w:tcPr>
          <w:p>
            <w:pPr>
              <w:pStyle w:val="TableText"/>
            </w:pPr>
            <w:r>
              <w:rPr>
                <w:rFonts w:ascii="Calibri" w:hAnsi="Calibri"/>
                <w:sz w:val="19"/>
              </w:rPr>
              <w:t>Multiple copied/syndicated pages</w:t>
            </w:r>
          </w:p>
        </w:tc>
        <w:tc>
          <w:tcPr>
            <w:tcW w:type="dxa" w:w="6660"/>
            <w:tcMar>
              <w:top w:w="80" w:type="dxa"/>
              <w:start w:w="120" w:type="dxa"/>
              <w:bottom w:w="80" w:type="dxa"/>
              <w:end w:w="120" w:type="dxa"/>
            </w:tcMar>
            <w:vAlign w:val="center"/>
          </w:tcPr>
          <w:p>
            <w:pPr>
              <w:pStyle w:val="TableText"/>
            </w:pPr>
            <w:r>
              <w:rPr>
                <w:rFonts w:ascii="Calibri" w:hAnsi="Calibri"/>
                <w:sz w:val="19"/>
              </w:rPr>
              <w:t>Count as one underlying signal when substantially derived from the same source.</w:t>
            </w:r>
          </w:p>
        </w:tc>
      </w:tr>
      <w:tr>
        <w:trPr>
          <w:cantSplit w:val="true"/>
        </w:trPr>
        <w:tc>
          <w:tcPr>
            <w:tcW w:type="dxa" w:w="2700"/>
            <w:tcMar>
              <w:top w:w="80" w:type="dxa"/>
              <w:start w:w="120" w:type="dxa"/>
              <w:bottom w:w="80" w:type="dxa"/>
              <w:end w:w="120" w:type="dxa"/>
            </w:tcMar>
            <w:vAlign w:val="center"/>
          </w:tcPr>
          <w:p>
            <w:pPr>
              <w:pStyle w:val="TableText"/>
            </w:pPr>
            <w:r>
              <w:rPr>
                <w:rFonts w:ascii="Calibri" w:hAnsi="Calibri"/>
                <w:sz w:val="19"/>
              </w:rPr>
              <w:t>Model statement</w:t>
            </w:r>
          </w:p>
        </w:tc>
        <w:tc>
          <w:tcPr>
            <w:tcW w:type="dxa" w:w="6660"/>
            <w:tcMar>
              <w:top w:w="80" w:type="dxa"/>
              <w:start w:w="120" w:type="dxa"/>
              <w:bottom w:w="80" w:type="dxa"/>
              <w:end w:w="120" w:type="dxa"/>
            </w:tcMar>
            <w:vAlign w:val="center"/>
          </w:tcPr>
          <w:p>
            <w:pPr>
              <w:pStyle w:val="TableText"/>
            </w:pPr>
            <w:r>
              <w:rPr>
                <w:rFonts w:ascii="Calibri" w:hAnsi="Calibri"/>
                <w:sz w:val="19"/>
              </w:rPr>
              <w:t>Analysis or hypothesis only; never evidence.</w:t>
            </w:r>
          </w:p>
        </w:tc>
      </w:tr>
      <w:tr>
        <w:trPr>
          <w:cantSplit w:val="true"/>
        </w:trPr>
        <w:tc>
          <w:tcPr>
            <w:tcW w:type="dxa" w:w="2700"/>
            <w:tcMar>
              <w:top w:w="80" w:type="dxa"/>
              <w:start w:w="120" w:type="dxa"/>
              <w:bottom w:w="80" w:type="dxa"/>
              <w:end w:w="120" w:type="dxa"/>
            </w:tcMar>
            <w:vAlign w:val="center"/>
          </w:tcPr>
          <w:p>
            <w:pPr>
              <w:pStyle w:val="TableText"/>
            </w:pPr>
            <w:r>
              <w:rPr>
                <w:rFonts w:ascii="Calibri" w:hAnsi="Calibri"/>
                <w:sz w:val="19"/>
              </w:rPr>
              <w:t>Unavailable page</w:t>
            </w:r>
          </w:p>
        </w:tc>
        <w:tc>
          <w:tcPr>
            <w:tcW w:type="dxa" w:w="6660"/>
            <w:tcMar>
              <w:top w:w="80" w:type="dxa"/>
              <w:start w:w="120" w:type="dxa"/>
              <w:bottom w:w="80" w:type="dxa"/>
              <w:end w:w="120" w:type="dxa"/>
            </w:tcMar>
            <w:vAlign w:val="center"/>
          </w:tcPr>
          <w:p>
            <w:pPr>
              <w:pStyle w:val="TableText"/>
            </w:pPr>
            <w:r>
              <w:rPr>
                <w:rFonts w:ascii="Calibri" w:hAnsi="Calibri"/>
                <w:sz w:val="19"/>
              </w:rPr>
              <w:t>May remain as a source reference with an availability warning but cannot provide a verified excerpt.</w:t>
            </w:r>
          </w:p>
        </w:tc>
      </w:tr>
      <w:tr>
        <w:trPr>
          <w:cantSplit w:val="true"/>
        </w:trPr>
        <w:tc>
          <w:tcPr>
            <w:tcW w:type="dxa" w:w="2700"/>
            <w:tcMar>
              <w:top w:w="80" w:type="dxa"/>
              <w:start w:w="120" w:type="dxa"/>
              <w:bottom w:w="80" w:type="dxa"/>
              <w:end w:w="120" w:type="dxa"/>
            </w:tcMar>
            <w:vAlign w:val="center"/>
          </w:tcPr>
          <w:p>
            <w:pPr>
              <w:pStyle w:val="TableText"/>
            </w:pPr>
            <w:r>
              <w:rPr>
                <w:rFonts w:ascii="Calibri" w:hAnsi="Calibri"/>
                <w:sz w:val="19"/>
              </w:rPr>
              <w:t>Credible disagreement</w:t>
            </w:r>
          </w:p>
        </w:tc>
        <w:tc>
          <w:tcPr>
            <w:tcW w:type="dxa" w:w="6660"/>
            <w:tcMar>
              <w:top w:w="80" w:type="dxa"/>
              <w:start w:w="120" w:type="dxa"/>
              <w:bottom w:w="80" w:type="dxa"/>
              <w:end w:w="120" w:type="dxa"/>
            </w:tcMar>
            <w:vAlign w:val="center"/>
          </w:tcPr>
          <w:p>
            <w:pPr>
              <w:pStyle w:val="TableText"/>
            </w:pPr>
            <w:r>
              <w:rPr>
                <w:rFonts w:ascii="Calibri" w:hAnsi="Calibri"/>
                <w:sz w:val="19"/>
              </w:rPr>
              <w:t>Displayed as conflict and lowers evidence confidence; it is not silently resolved by the model.</w:t>
            </w:r>
          </w:p>
        </w:tc>
      </w:tr>
    </w:tbl>
    <w:p>
      <w:pPr>
        <w:spacing w:after="0" w:line="120" w:lineRule="auto"/>
      </w:pPr>
    </w:p>
    <w:p>
      <w:pPr>
        <w:pStyle w:val="Heading2"/>
        <w:keepNext/>
      </w:pPr>
      <w:r>
        <w:t>8.4 Retained evidence</w:t>
      </w:r>
    </w:p>
    <w:p>
      <w:r>
        <w:rPr>
          <w:rFonts w:ascii="Calibri" w:hAnsi="Calibri"/>
        </w:rPr>
        <w:t>Durable evidence is limited to the source URL, title/publisher, publication date when available, retrieval date, short verified excerpt, supported claim, credibility note, material limitation/conflict, and content fingerprint. Complete webpages, screenshots, downloaded documents, full extracted text, prompts, and raw model responses are never retained as product data.</w:t>
      </w:r>
    </w:p>
    <w:p>
      <w:pPr>
        <w:pStyle w:val="Heading1"/>
        <w:keepNext/>
      </w:pPr>
      <w:r>
        <w:t>9. Opportunity evaluation and report</w:t>
      </w:r>
    </w:p>
    <w:p>
      <w:pPr>
        <w:pStyle w:val="Heading2"/>
        <w:keepNext/>
      </w:pPr>
      <w:r>
        <w:t>9.1 Required report content</w:t>
      </w:r>
    </w:p>
    <w:p>
      <w:pPr>
        <w:numPr>
          <w:ilvl w:val="0"/>
          <w:numId w:val="10"/>
        </w:numPr>
        <w:spacing w:after="160" w:line="280" w:lineRule="auto"/>
      </w:pPr>
      <w:r>
        <w:rPr>
          <w:rFonts w:ascii="Calibri" w:hAnsi="Calibri"/>
        </w:rPr>
        <w:t>Opportunity name, concise summary, problem pattern, target segment, user, likely buyer, and recurring workflow.</w:t>
      </w:r>
    </w:p>
    <w:p>
      <w:pPr>
        <w:numPr>
          <w:ilvl w:val="0"/>
          <w:numId w:val="10"/>
        </w:numPr>
        <w:spacing w:after="160" w:line="280" w:lineRule="auto"/>
      </w:pPr>
      <w:r>
        <w:rPr>
          <w:rFonts w:ascii="Calibri" w:hAnsi="Calibri"/>
        </w:rPr>
        <w:t>Current workaround, consequences, frequency/value hypothesis, and supporting, negative, and conflicting evidence.</w:t>
      </w:r>
    </w:p>
    <w:p>
      <w:pPr>
        <w:numPr>
          <w:ilvl w:val="0"/>
          <w:numId w:val="10"/>
        </w:numPr>
        <w:spacing w:after="160" w:line="280" w:lineRule="auto"/>
      </w:pPr>
      <w:r>
        <w:rPr>
          <w:rFonts w:ascii="Calibri" w:hAnsi="Calibri"/>
        </w:rPr>
        <w:t>Proposed solution, reusable core capabilities, delivery model, why the selected segment is the initial market, and other plausible segments.</w:t>
      </w:r>
    </w:p>
    <w:p>
      <w:pPr>
        <w:numPr>
          <w:ilvl w:val="0"/>
          <w:numId w:val="10"/>
        </w:numPr>
        <w:spacing w:after="160" w:line="280" w:lineRule="auto"/>
      </w:pPr>
      <w:r>
        <w:rPr>
          <w:rFonts w:ascii="Calibri" w:hAnsi="Calibri"/>
        </w:rPr>
        <w:t>Existing alternatives, competitors, pricing/spend signals when supported, missing capabilities, market saturation, incumbent response risk, and integration/customization burden.</w:t>
      </w:r>
    </w:p>
    <w:p>
      <w:pPr>
        <w:numPr>
          <w:ilvl w:val="0"/>
          <w:numId w:val="10"/>
        </w:numPr>
        <w:spacing w:after="160" w:line="280" w:lineRule="auto"/>
      </w:pPr>
      <w:r>
        <w:rPr>
          <w:rFonts w:ascii="Calibri" w:hAnsi="Calibri"/>
        </w:rPr>
        <w:t>Pensae feasibility, preferred-technology fit, trust and regulatory constraints, operational burden, unknowns, and reasons not to pursue.</w:t>
      </w:r>
    </w:p>
    <w:p>
      <w:pPr>
        <w:numPr>
          <w:ilvl w:val="0"/>
          <w:numId w:val="10"/>
        </w:numPr>
        <w:spacing w:after="160" w:line="280" w:lineRule="auto"/>
      </w:pPr>
      <w:r>
        <w:rPr>
          <w:rFonts w:ascii="Calibri" w:hAnsi="Calibri"/>
        </w:rPr>
        <w:t>Four sub-scores with evidence-linked explanations, deterministic weighted total, verdict, and next independent research questions.</w:t>
      </w:r>
    </w:p>
    <w:p>
      <w:pPr>
        <w:numPr>
          <w:ilvl w:val="0"/>
          <w:numId w:val="10"/>
        </w:numPr>
        <w:spacing w:after="160" w:line="280" w:lineRule="auto"/>
      </w:pPr>
      <w:r>
        <w:rPr>
          <w:rFonts w:ascii="Calibri" w:hAnsi="Calibri"/>
        </w:rPr>
        <w:t>Workflow, prompt, chat-model, embedding-model, and source-fingerprint provenance for reproducibility.</w:t>
      </w:r>
    </w:p>
    <w:p>
      <w:pPr>
        <w:pStyle w:val="Heading2"/>
        <w:keepNext/>
      </w:pPr>
      <w:r>
        <w:t>9.2 Fixed scoring</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50"/>
        <w:gridCol w:w="5260"/>
        <w:gridCol w:w="1750"/>
      </w:tblGrid>
      <w:tr>
        <w:trPr>
          <w:tblHeader w:val="true"/>
          <w:cantSplit w:val="true"/>
        </w:trPr>
        <w:tc>
          <w:tcPr>
            <w:tcW w:type="dxa" w:w="2350"/>
            <w:tcMar>
              <w:top w:w="80" w:type="dxa"/>
              <w:start w:w="120" w:type="dxa"/>
              <w:bottom w:w="80" w:type="dxa"/>
              <w:end w:w="120" w:type="dxa"/>
            </w:tcMar>
            <w:vAlign w:val="center"/>
            <w:shd w:fill="F2F4F7"/>
          </w:tcPr>
          <w:p>
            <w:pPr>
              <w:pStyle w:val="TableText"/>
              <w:keepNext/>
            </w:pPr>
            <w:r>
              <w:rPr>
                <w:rFonts w:ascii="Calibri" w:hAnsi="Calibri"/>
                <w:b/>
                <w:color w:val="0B2545"/>
                <w:sz w:val="19"/>
              </w:rPr>
              <w:t>Dimension</w:t>
            </w:r>
          </w:p>
        </w:tc>
        <w:tc>
          <w:tcPr>
            <w:tcW w:type="dxa" w:w="5260"/>
            <w:tcMar>
              <w:top w:w="80" w:type="dxa"/>
              <w:start w:w="120" w:type="dxa"/>
              <w:bottom w:w="80" w:type="dxa"/>
              <w:end w:w="120" w:type="dxa"/>
            </w:tcMar>
            <w:vAlign w:val="center"/>
            <w:shd w:fill="F2F4F7"/>
          </w:tcPr>
          <w:p>
            <w:pPr>
              <w:pStyle w:val="TableText"/>
              <w:keepNext/>
            </w:pPr>
            <w:r>
              <w:rPr>
                <w:rFonts w:ascii="Calibri" w:hAnsi="Calibri"/>
                <w:b/>
                <w:color w:val="0B2545"/>
                <w:sz w:val="19"/>
              </w:rPr>
              <w:t>Meaning</w:t>
            </w:r>
          </w:p>
        </w:tc>
        <w:tc>
          <w:tcPr>
            <w:tcW w:type="dxa" w:w="1750"/>
            <w:tcMar>
              <w:top w:w="80" w:type="dxa"/>
              <w:start w:w="120" w:type="dxa"/>
              <w:bottom w:w="80" w:type="dxa"/>
              <w:end w:w="120" w:type="dxa"/>
            </w:tcMar>
            <w:vAlign w:val="center"/>
            <w:shd w:fill="F2F4F7"/>
          </w:tcPr>
          <w:p>
            <w:pPr>
              <w:pStyle w:val="TableText"/>
              <w:keepNext/>
            </w:pPr>
            <w:r>
              <w:rPr>
                <w:rFonts w:ascii="Calibri" w:hAnsi="Calibri"/>
                <w:b/>
                <w:color w:val="0B2545"/>
                <w:sz w:val="19"/>
              </w:rPr>
              <w:t>Weight</w:t>
            </w:r>
          </w:p>
        </w:tc>
      </w:tr>
      <w:tr>
        <w:trPr>
          <w:cantSplit w:val="true"/>
        </w:trPr>
        <w:tc>
          <w:tcPr>
            <w:tcW w:type="dxa" w:w="2350"/>
            <w:tcMar>
              <w:top w:w="80" w:type="dxa"/>
              <w:start w:w="120" w:type="dxa"/>
              <w:bottom w:w="80" w:type="dxa"/>
              <w:end w:w="120" w:type="dxa"/>
            </w:tcMar>
            <w:vAlign w:val="center"/>
          </w:tcPr>
          <w:p>
            <w:pPr>
              <w:pStyle w:val="TableText"/>
            </w:pPr>
            <w:r>
              <w:rPr>
                <w:rFonts w:ascii="Calibri" w:hAnsi="Calibri"/>
                <w:sz w:val="19"/>
              </w:rPr>
              <w:t>Commercial attractiveness</w:t>
            </w:r>
          </w:p>
        </w:tc>
        <w:tc>
          <w:tcPr>
            <w:tcW w:type="dxa" w:w="5260"/>
            <w:tcMar>
              <w:top w:w="80" w:type="dxa"/>
              <w:start w:w="120" w:type="dxa"/>
              <w:bottom w:w="80" w:type="dxa"/>
              <w:end w:w="120" w:type="dxa"/>
            </w:tcMar>
            <w:vAlign w:val="center"/>
          </w:tcPr>
          <w:p>
            <w:pPr>
              <w:pStyle w:val="TableText"/>
            </w:pPr>
            <w:r>
              <w:rPr>
                <w:rFonts w:ascii="Calibri" w:hAnsi="Calibri"/>
                <w:sz w:val="19"/>
              </w:rPr>
              <w:t>Problem severity and frequency, buyer ownership, willingness/ability to pay, reachable market, recurring value, and plausible revenue model.</w:t>
            </w:r>
          </w:p>
        </w:tc>
        <w:tc>
          <w:tcPr>
            <w:tcW w:type="dxa" w:w="1750"/>
            <w:tcMar>
              <w:top w:w="80" w:type="dxa"/>
              <w:start w:w="120" w:type="dxa"/>
              <w:bottom w:w="80" w:type="dxa"/>
              <w:end w:w="120" w:type="dxa"/>
            </w:tcMar>
            <w:vAlign w:val="center"/>
          </w:tcPr>
          <w:p>
            <w:pPr>
              <w:pStyle w:val="TableText"/>
            </w:pPr>
            <w:r>
              <w:rPr>
                <w:rFonts w:ascii="Calibri" w:hAnsi="Calibri"/>
                <w:sz w:val="19"/>
              </w:rPr>
              <w:t>35%</w:t>
            </w:r>
          </w:p>
        </w:tc>
      </w:tr>
      <w:tr>
        <w:trPr>
          <w:cantSplit w:val="true"/>
        </w:trPr>
        <w:tc>
          <w:tcPr>
            <w:tcW w:type="dxa" w:w="2350"/>
            <w:tcMar>
              <w:top w:w="80" w:type="dxa"/>
              <w:start w:w="120" w:type="dxa"/>
              <w:bottom w:w="80" w:type="dxa"/>
              <w:end w:w="120" w:type="dxa"/>
            </w:tcMar>
            <w:vAlign w:val="center"/>
          </w:tcPr>
          <w:p>
            <w:pPr>
              <w:pStyle w:val="TableText"/>
            </w:pPr>
            <w:r>
              <w:rPr>
                <w:rFonts w:ascii="Calibri" w:hAnsi="Calibri"/>
                <w:sz w:val="19"/>
              </w:rPr>
              <w:t>Evidence strength</w:t>
            </w:r>
          </w:p>
        </w:tc>
        <w:tc>
          <w:tcPr>
            <w:tcW w:type="dxa" w:w="5260"/>
            <w:tcMar>
              <w:top w:w="80" w:type="dxa"/>
              <w:start w:w="120" w:type="dxa"/>
              <w:bottom w:w="80" w:type="dxa"/>
              <w:end w:w="120" w:type="dxa"/>
            </w:tcMar>
            <w:vAlign w:val="center"/>
          </w:tcPr>
          <w:p>
            <w:pPr>
              <w:pStyle w:val="TableText"/>
            </w:pPr>
            <w:r>
              <w:rPr>
                <w:rFonts w:ascii="Calibri" w:hAnsi="Calibri"/>
                <w:sz w:val="19"/>
              </w:rPr>
              <w:t>Directness, credibility, independence, diversity, recency, verified excerpts, conflicts, and remaining gaps.</w:t>
            </w:r>
          </w:p>
        </w:tc>
        <w:tc>
          <w:tcPr>
            <w:tcW w:type="dxa" w:w="1750"/>
            <w:tcMar>
              <w:top w:w="80" w:type="dxa"/>
              <w:start w:w="120" w:type="dxa"/>
              <w:bottom w:w="80" w:type="dxa"/>
              <w:end w:w="120" w:type="dxa"/>
            </w:tcMar>
            <w:vAlign w:val="center"/>
          </w:tcPr>
          <w:p>
            <w:pPr>
              <w:pStyle w:val="TableText"/>
            </w:pPr>
            <w:r>
              <w:rPr>
                <w:rFonts w:ascii="Calibri" w:hAnsi="Calibri"/>
                <w:sz w:val="19"/>
              </w:rPr>
              <w:t>30%</w:t>
            </w:r>
          </w:p>
        </w:tc>
      </w:tr>
      <w:tr>
        <w:trPr>
          <w:cantSplit w:val="true"/>
        </w:trPr>
        <w:tc>
          <w:tcPr>
            <w:tcW w:type="dxa" w:w="2350"/>
            <w:tcMar>
              <w:top w:w="80" w:type="dxa"/>
              <w:start w:w="120" w:type="dxa"/>
              <w:bottom w:w="80" w:type="dxa"/>
              <w:end w:w="120" w:type="dxa"/>
            </w:tcMar>
            <w:vAlign w:val="center"/>
          </w:tcPr>
          <w:p>
            <w:pPr>
              <w:pStyle w:val="TableText"/>
            </w:pPr>
            <w:r>
              <w:rPr>
                <w:rFonts w:ascii="Calibri" w:hAnsi="Calibri"/>
                <w:sz w:val="19"/>
              </w:rPr>
              <w:t>Pensae feasibility</w:t>
            </w:r>
          </w:p>
        </w:tc>
        <w:tc>
          <w:tcPr>
            <w:tcW w:type="dxa" w:w="5260"/>
            <w:tcMar>
              <w:top w:w="80" w:type="dxa"/>
              <w:start w:w="120" w:type="dxa"/>
              <w:bottom w:w="80" w:type="dxa"/>
              <w:end w:w="120" w:type="dxa"/>
            </w:tcMar>
            <w:vAlign w:val="center"/>
          </w:tcPr>
          <w:p>
            <w:pPr>
              <w:pStyle w:val="TableText"/>
            </w:pPr>
            <w:r>
              <w:rPr>
                <w:rFonts w:ascii="Calibri" w:hAnsi="Calibri"/>
                <w:sz w:val="19"/>
              </w:rPr>
              <w:t>Technical fit, learnability, build/delivery difficulty, integrations, data availability, trust, regulatory exposure, customization, and operations.</w:t>
            </w:r>
          </w:p>
        </w:tc>
        <w:tc>
          <w:tcPr>
            <w:tcW w:type="dxa" w:w="1750"/>
            <w:tcMar>
              <w:top w:w="80" w:type="dxa"/>
              <w:start w:w="120" w:type="dxa"/>
              <w:bottom w:w="80" w:type="dxa"/>
              <w:end w:w="120" w:type="dxa"/>
            </w:tcMar>
            <w:vAlign w:val="center"/>
          </w:tcPr>
          <w:p>
            <w:pPr>
              <w:pStyle w:val="TableText"/>
            </w:pPr>
            <w:r>
              <w:rPr>
                <w:rFonts w:ascii="Calibri" w:hAnsi="Calibri"/>
                <w:sz w:val="19"/>
              </w:rPr>
              <w:t>25%</w:t>
            </w:r>
          </w:p>
        </w:tc>
      </w:tr>
      <w:tr>
        <w:trPr>
          <w:cantSplit w:val="true"/>
        </w:trPr>
        <w:tc>
          <w:tcPr>
            <w:tcW w:type="dxa" w:w="2350"/>
            <w:tcMar>
              <w:top w:w="80" w:type="dxa"/>
              <w:start w:w="120" w:type="dxa"/>
              <w:bottom w:w="80" w:type="dxa"/>
              <w:end w:w="120" w:type="dxa"/>
            </w:tcMar>
            <w:vAlign w:val="center"/>
          </w:tcPr>
          <w:p>
            <w:pPr>
              <w:pStyle w:val="TableText"/>
            </w:pPr>
            <w:r>
              <w:rPr>
                <w:rFonts w:ascii="Calibri" w:hAnsi="Calibri"/>
                <w:sz w:val="19"/>
              </w:rPr>
              <w:t>Differentiation</w:t>
            </w:r>
          </w:p>
        </w:tc>
        <w:tc>
          <w:tcPr>
            <w:tcW w:type="dxa" w:w="5260"/>
            <w:tcMar>
              <w:top w:w="80" w:type="dxa"/>
              <w:start w:w="120" w:type="dxa"/>
              <w:bottom w:w="80" w:type="dxa"/>
              <w:end w:w="120" w:type="dxa"/>
            </w:tcMar>
            <w:vAlign w:val="center"/>
          </w:tcPr>
          <w:p>
            <w:pPr>
              <w:pStyle w:val="TableText"/>
            </w:pPr>
            <w:r>
              <w:rPr>
                <w:rFonts w:ascii="Calibri" w:hAnsi="Calibri"/>
                <w:sz w:val="19"/>
              </w:rPr>
              <w:t>Position against alternatives, feature-vs-product risk, incumbent response, imitation risk, workflow advantage, and defensibility.</w:t>
            </w:r>
          </w:p>
        </w:tc>
        <w:tc>
          <w:tcPr>
            <w:tcW w:type="dxa" w:w="1750"/>
            <w:tcMar>
              <w:top w:w="80" w:type="dxa"/>
              <w:start w:w="120" w:type="dxa"/>
              <w:bottom w:w="80" w:type="dxa"/>
              <w:end w:w="120" w:type="dxa"/>
            </w:tcMar>
            <w:vAlign w:val="center"/>
          </w:tcPr>
          <w:p>
            <w:pPr>
              <w:pStyle w:val="TableText"/>
            </w:pPr>
            <w:r>
              <w:rPr>
                <w:rFonts w:ascii="Calibri" w:hAnsi="Calibri"/>
                <w:sz w:val="19"/>
              </w:rPr>
              <w:t>10%</w:t>
            </w:r>
          </w:p>
        </w:tc>
      </w:tr>
    </w:tbl>
    <w:p>
      <w:pPr>
        <w:spacing w:after="0" w:line="120" w:lineRule="auto"/>
      </w:pPr>
    </w:p>
    <w:p>
      <w:r>
        <w:rPr>
          <w:rFonts w:ascii="Calibri" w:hAnsi="Calibri"/>
        </w:rPr>
        <w:t>The Opportunity Analyst proposes 1-5 sub-scores and explanations. Application code validates the range and calculates the weighted total on a 1.0-5.0 scale. Weights and system scores are not editable, and existing versions are never silently recalculated.</w:t>
      </w:r>
    </w:p>
    <w:p>
      <w:pPr>
        <w:pStyle w:val="Heading2"/>
        <w:keepNext/>
      </w:pPr>
      <w:r>
        <w:t>9.3 Verdicts</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50"/>
        <w:gridCol w:w="7010"/>
      </w:tblGrid>
      <w:tr>
        <w:trPr>
          <w:tblHeader w:val="true"/>
          <w:cantSplit w:val="true"/>
        </w:trPr>
        <w:tc>
          <w:tcPr>
            <w:tcW w:type="dxa" w:w="2350"/>
            <w:tcMar>
              <w:top w:w="80" w:type="dxa"/>
              <w:start w:w="120" w:type="dxa"/>
              <w:bottom w:w="80" w:type="dxa"/>
              <w:end w:w="120" w:type="dxa"/>
            </w:tcMar>
            <w:vAlign w:val="center"/>
            <w:shd w:fill="F2F4F7"/>
          </w:tcPr>
          <w:p>
            <w:pPr>
              <w:pStyle w:val="TableText"/>
              <w:keepNext/>
            </w:pPr>
            <w:r>
              <w:rPr>
                <w:rFonts w:ascii="Calibri" w:hAnsi="Calibri"/>
                <w:b/>
                <w:color w:val="0B2545"/>
                <w:sz w:val="19"/>
              </w:rPr>
              <w:t>Verdict</w:t>
            </w:r>
          </w:p>
        </w:tc>
        <w:tc>
          <w:tcPr>
            <w:tcW w:type="dxa" w:w="7010"/>
            <w:tcMar>
              <w:top w:w="80" w:type="dxa"/>
              <w:start w:w="120" w:type="dxa"/>
              <w:bottom w:w="80" w:type="dxa"/>
              <w:end w:w="120" w:type="dxa"/>
            </w:tcMar>
            <w:vAlign w:val="center"/>
            <w:shd w:fill="F2F4F7"/>
          </w:tcPr>
          <w:p>
            <w:pPr>
              <w:pStyle w:val="TableText"/>
              <w:keepNext/>
            </w:pPr>
            <w:r>
              <w:rPr>
                <w:rFonts w:ascii="Calibri" w:hAnsi="Calibri"/>
                <w:b/>
                <w:color w:val="0B2545"/>
                <w:sz w:val="19"/>
              </w:rPr>
              <w:t>Rule</w:t>
            </w:r>
          </w:p>
        </w:tc>
      </w:tr>
      <w:tr>
        <w:trPr>
          <w:cantSplit w:val="true"/>
        </w:trPr>
        <w:tc>
          <w:tcPr>
            <w:tcW w:type="dxa" w:w="2350"/>
            <w:tcMar>
              <w:top w:w="80" w:type="dxa"/>
              <w:start w:w="120" w:type="dxa"/>
              <w:bottom w:w="80" w:type="dxa"/>
              <w:end w:w="120" w:type="dxa"/>
            </w:tcMar>
            <w:vAlign w:val="center"/>
          </w:tcPr>
          <w:p>
            <w:pPr>
              <w:pStyle w:val="TableText"/>
            </w:pPr>
            <w:r>
              <w:rPr>
                <w:rFonts w:ascii="Calibri" w:hAnsi="Calibri"/>
                <w:sz w:val="19"/>
              </w:rPr>
              <w:t>Promising</w:t>
            </w:r>
          </w:p>
        </w:tc>
        <w:tc>
          <w:tcPr>
            <w:tcW w:type="dxa" w:w="7010"/>
            <w:tcMar>
              <w:top w:w="80" w:type="dxa"/>
              <w:start w:w="120" w:type="dxa"/>
              <w:bottom w:w="80" w:type="dxa"/>
              <w:end w:w="120" w:type="dxa"/>
            </w:tcMar>
            <w:vAlign w:val="center"/>
          </w:tcPr>
          <w:p>
            <w:pPr>
              <w:pStyle w:val="TableText"/>
            </w:pPr>
            <w:r>
              <w:rPr>
                <w:rFonts w:ascii="Calibri" w:hAnsi="Calibri"/>
                <w:sz w:val="19"/>
              </w:rPr>
              <w:t>Meets the strong evidence gate, has a plausible buyer and payment/value path, has no unresolved critical blocker, and normally has a weighted score of at least 3.5.</w:t>
            </w:r>
          </w:p>
        </w:tc>
      </w:tr>
      <w:tr>
        <w:trPr>
          <w:cantSplit w:val="true"/>
        </w:trPr>
        <w:tc>
          <w:tcPr>
            <w:tcW w:type="dxa" w:w="2350"/>
            <w:tcMar>
              <w:top w:w="80" w:type="dxa"/>
              <w:start w:w="120" w:type="dxa"/>
              <w:bottom w:w="80" w:type="dxa"/>
              <w:end w:w="120" w:type="dxa"/>
            </w:tcMar>
            <w:vAlign w:val="center"/>
          </w:tcPr>
          <w:p>
            <w:pPr>
              <w:pStyle w:val="TableText"/>
            </w:pPr>
            <w:r>
              <w:rPr>
                <w:rFonts w:ascii="Calibri" w:hAnsi="Calibri"/>
                <w:sz w:val="19"/>
              </w:rPr>
              <w:t>Needs more evidence</w:t>
            </w:r>
          </w:p>
        </w:tc>
        <w:tc>
          <w:tcPr>
            <w:tcW w:type="dxa" w:w="7010"/>
            <w:tcMar>
              <w:top w:w="80" w:type="dxa"/>
              <w:start w:w="120" w:type="dxa"/>
              <w:bottom w:w="80" w:type="dxa"/>
              <w:end w:w="120" w:type="dxa"/>
            </w:tcMar>
            <w:vAlign w:val="center"/>
          </w:tcPr>
          <w:p>
            <w:pPr>
              <w:pStyle w:val="TableText"/>
            </w:pPr>
            <w:r>
              <w:rPr>
                <w:rFonts w:ascii="Calibri" w:hAnsi="Calibri"/>
                <w:sz w:val="19"/>
              </w:rPr>
              <w:t>Meets minimum retention requirements but has material evidence, buyer, payment, feasibility, differentiation, reachability, or trust gaps.</w:t>
            </w:r>
          </w:p>
        </w:tc>
      </w:tr>
      <w:tr>
        <w:trPr>
          <w:cantSplit w:val="true"/>
        </w:trPr>
        <w:tc>
          <w:tcPr>
            <w:tcW w:type="dxa" w:w="2350"/>
            <w:tcMar>
              <w:top w:w="80" w:type="dxa"/>
              <w:start w:w="120" w:type="dxa"/>
              <w:bottom w:w="80" w:type="dxa"/>
              <w:end w:w="120" w:type="dxa"/>
            </w:tcMar>
            <w:vAlign w:val="center"/>
          </w:tcPr>
          <w:p>
            <w:pPr>
              <w:pStyle w:val="TableText"/>
            </w:pPr>
            <w:r>
              <w:rPr>
                <w:rFonts w:ascii="Calibri" w:hAnsi="Calibri"/>
                <w:sz w:val="19"/>
              </w:rPr>
              <w:t>Do not pursue</w:t>
            </w:r>
          </w:p>
        </w:tc>
        <w:tc>
          <w:tcPr>
            <w:tcW w:type="dxa" w:w="7010"/>
            <w:tcMar>
              <w:top w:w="80" w:type="dxa"/>
              <w:start w:w="120" w:type="dxa"/>
              <w:bottom w:w="80" w:type="dxa"/>
              <w:end w:w="120" w:type="dxa"/>
            </w:tcMar>
            <w:vAlign w:val="center"/>
          </w:tcPr>
          <w:p>
            <w:pPr>
              <w:pStyle w:val="TableText"/>
            </w:pPr>
            <w:r>
              <w:rPr>
                <w:rFonts w:ascii="Calibri" w:hAnsi="Calibri"/>
                <w:sz w:val="19"/>
              </w:rPr>
              <w:t>A completed evaluation identifies a critical blocker, strong negative evidence, implausible economics, excessive customization/operations, or normally a weighted score below 2.5.</w:t>
            </w:r>
          </w:p>
        </w:tc>
      </w:tr>
    </w:tbl>
    <w:p>
      <w:pPr>
        <w:spacing w:after="0" w:line="120" w:lineRule="auto"/>
      </w:pPr>
    </w:p>
    <w:p>
      <w:r>
        <w:rPr>
          <w:rFonts w:ascii="Calibri" w:hAnsi="Calibri"/>
        </w:rPr>
        <w:t>Scores do not override evidence gates or critical blockers. A completed Do not pursue opportunity is retained so future discoveries do not repeatedly appear as new.</w:t>
      </w:r>
    </w:p>
    <w:p>
      <w:pPr>
        <w:pStyle w:val="Heading1"/>
        <w:keepNext/>
      </w:pPr>
      <w:r>
        <w:t>10. Similarity, lifecycle, and versioning</w:t>
      </w:r>
    </w:p>
    <w:p>
      <w:pPr>
        <w:pStyle w:val="Heading2"/>
        <w:keepNext/>
      </w:pPr>
      <w:r>
        <w:t>10.1 Similarity</w:t>
      </w:r>
    </w:p>
    <w:p>
      <w:pPr>
        <w:numPr>
          <w:ilvl w:val="0"/>
          <w:numId w:val="10"/>
        </w:numPr>
        <w:spacing w:after="160" w:line="280" w:lineRule="auto"/>
      </w:pPr>
      <w:r>
        <w:rPr>
          <w:rFonts w:ascii="Calibri" w:hAnsi="Calibri"/>
        </w:rPr>
        <w:t>A fixed local embedding model and dimension are used for all stored vectors. The model is not editable in the v2.4 UI.</w:t>
      </w:r>
    </w:p>
    <w:p>
      <w:pPr>
        <w:numPr>
          <w:ilvl w:val="0"/>
          <w:numId w:val="10"/>
        </w:numPr>
        <w:spacing w:after="160" w:line="280" w:lineRule="auto"/>
      </w:pPr>
      <w:r>
        <w:rPr>
          <w:rFonts w:ascii="Calibri" w:hAnsi="Calibri"/>
        </w:rPr>
        <w:t>pgvector uses exact cosine similarity. HNSW, IVFFlat, Redis vector search, and other approximate indexes are deferred until measured data volume requires them.</w:t>
      </w:r>
    </w:p>
    <w:p>
      <w:pPr>
        <w:numPr>
          <w:ilvl w:val="0"/>
          <w:numId w:val="10"/>
        </w:numPr>
        <w:spacing w:after="160" w:line="280" w:lineRule="auto"/>
      </w:pPr>
      <w:r>
        <w:rPr>
          <w:rFonts w:ascii="Calibri" w:hAnsi="Calibri"/>
        </w:rPr>
        <w:t>Problem-pattern embeddings support cross-industry clustering. Opportunity embeddings support Related and possible-rediscovery comparisons.</w:t>
      </w:r>
    </w:p>
    <w:p>
      <w:pPr>
        <w:numPr>
          <w:ilvl w:val="0"/>
          <w:numId w:val="10"/>
        </w:numPr>
        <w:spacing w:after="160" w:line="280" w:lineRule="auto"/>
      </w:pPr>
      <w:r>
        <w:rPr>
          <w:rFonts w:ascii="Calibri" w:hAnsi="Calibri"/>
        </w:rPr>
        <w:t>Each opportunity retains at most its three strongest Related links above the fixed threshold. Classification uses the strongest match; comparisons may cross industries.</w:t>
      </w:r>
    </w:p>
    <w:p>
      <w:pPr>
        <w:numPr>
          <w:ilvl w:val="0"/>
          <w:numId w:val="10"/>
        </w:numPr>
        <w:spacing w:after="160" w:line="280" w:lineRule="auto"/>
      </w:pPr>
      <w:r>
        <w:rPr>
          <w:rFonts w:ascii="Calibri" w:hAnsi="Calibri"/>
        </w:rPr>
        <w:t>Similarity thresholds are versioned application defaults calibrated against an offline evaluation set, not normal UI settings.</w:t>
      </w:r>
    </w:p>
    <w:p>
      <w:pPr>
        <w:pStyle w:val="Heading2"/>
        <w:keepNext/>
      </w:pPr>
      <w:r>
        <w:t>10.2 Initial classification</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450"/>
        <w:gridCol w:w="6910"/>
      </w:tblGrid>
      <w:tr>
        <w:trPr>
          <w:tblHeader w:val="true"/>
          <w:cantSplit w:val="true"/>
        </w:trPr>
        <w:tc>
          <w:tcPr>
            <w:tcW w:type="dxa" w:w="2450"/>
            <w:tcMar>
              <w:top w:w="80" w:type="dxa"/>
              <w:start w:w="120" w:type="dxa"/>
              <w:bottom w:w="80" w:type="dxa"/>
              <w:end w:w="120" w:type="dxa"/>
            </w:tcMar>
            <w:vAlign w:val="center"/>
            <w:shd w:fill="F2F4F7"/>
          </w:tcPr>
          <w:p>
            <w:pPr>
              <w:pStyle w:val="TableText"/>
              <w:keepNext/>
            </w:pPr>
            <w:r>
              <w:rPr>
                <w:rFonts w:ascii="Calibri" w:hAnsi="Calibri"/>
                <w:b/>
                <w:color w:val="0B2545"/>
                <w:sz w:val="19"/>
              </w:rPr>
              <w:t>Classification</w:t>
            </w:r>
          </w:p>
        </w:tc>
        <w:tc>
          <w:tcPr>
            <w:tcW w:type="dxa" w:w="6910"/>
            <w:tcMar>
              <w:top w:w="80" w:type="dxa"/>
              <w:start w:w="120" w:type="dxa"/>
              <w:bottom w:w="80" w:type="dxa"/>
              <w:end w:w="120" w:type="dxa"/>
            </w:tcMar>
            <w:vAlign w:val="center"/>
            <w:shd w:fill="F2F4F7"/>
          </w:tcPr>
          <w:p>
            <w:pPr>
              <w:pStyle w:val="TableText"/>
              <w:keepNext/>
            </w:pPr>
            <w:r>
              <w:rPr>
                <w:rFonts w:ascii="Calibri" w:hAnsi="Calibri"/>
                <w:b/>
                <w:color w:val="0B2545"/>
                <w:sz w:val="19"/>
              </w:rPr>
              <w:t>Behavior</w:t>
            </w:r>
          </w:p>
        </w:tc>
      </w:tr>
      <w:tr>
        <w:trPr>
          <w:cantSplit w:val="true"/>
        </w:trPr>
        <w:tc>
          <w:tcPr>
            <w:tcW w:type="dxa" w:w="2450"/>
            <w:tcMar>
              <w:top w:w="80" w:type="dxa"/>
              <w:start w:w="120" w:type="dxa"/>
              <w:bottom w:w="80" w:type="dxa"/>
              <w:end w:w="120" w:type="dxa"/>
            </w:tcMar>
            <w:vAlign w:val="center"/>
          </w:tcPr>
          <w:p>
            <w:pPr>
              <w:pStyle w:val="TableText"/>
            </w:pPr>
            <w:r>
              <w:rPr>
                <w:rFonts w:ascii="Calibri" w:hAnsi="Calibri"/>
                <w:sz w:val="19"/>
              </w:rPr>
              <w:t>New</w:t>
            </w:r>
          </w:p>
        </w:tc>
        <w:tc>
          <w:tcPr>
            <w:tcW w:type="dxa" w:w="6910"/>
            <w:tcMar>
              <w:top w:w="80" w:type="dxa"/>
              <w:start w:w="120" w:type="dxa"/>
              <w:bottom w:w="80" w:type="dxa"/>
              <w:end w:w="120" w:type="dxa"/>
            </w:tcMar>
            <w:vAlign w:val="center"/>
          </w:tcPr>
          <w:p>
            <w:pPr>
              <w:pStyle w:val="TableText"/>
            </w:pPr>
            <w:r>
              <w:rPr>
                <w:rFonts w:ascii="Calibri" w:hAnsi="Calibri"/>
                <w:sz w:val="19"/>
              </w:rPr>
              <w:t>No exact fingerprint or meaningful semantic match exists.</w:t>
            </w:r>
          </w:p>
        </w:tc>
      </w:tr>
      <w:tr>
        <w:trPr>
          <w:cantSplit w:val="true"/>
        </w:trPr>
        <w:tc>
          <w:tcPr>
            <w:tcW w:type="dxa" w:w="2450"/>
            <w:tcMar>
              <w:top w:w="80" w:type="dxa"/>
              <w:start w:w="120" w:type="dxa"/>
              <w:bottom w:w="80" w:type="dxa"/>
              <w:end w:w="120" w:type="dxa"/>
            </w:tcMar>
            <w:vAlign w:val="center"/>
          </w:tcPr>
          <w:p>
            <w:pPr>
              <w:pStyle w:val="TableText"/>
            </w:pPr>
            <w:r>
              <w:rPr>
                <w:rFonts w:ascii="Calibri" w:hAnsi="Calibri"/>
                <w:sz w:val="19"/>
              </w:rPr>
              <w:t>Related</w:t>
            </w:r>
          </w:p>
        </w:tc>
        <w:tc>
          <w:tcPr>
            <w:tcW w:type="dxa" w:w="6910"/>
            <w:tcMar>
              <w:top w:w="80" w:type="dxa"/>
              <w:start w:w="120" w:type="dxa"/>
              <w:bottom w:w="80" w:type="dxa"/>
              <w:end w:w="120" w:type="dxa"/>
            </w:tcMar>
            <w:vAlign w:val="center"/>
          </w:tcPr>
          <w:p>
            <w:pPr>
              <w:pStyle w:val="TableText"/>
            </w:pPr>
            <w:r>
              <w:rPr>
                <w:rFonts w:ascii="Calibri" w:hAnsi="Calibri"/>
                <w:sz w:val="19"/>
              </w:rPr>
              <w:t>A meaningful semantic match exists, but the candidate is a distinct problem, solution, segment, buyer, or workflow.</w:t>
            </w:r>
          </w:p>
        </w:tc>
      </w:tr>
      <w:tr>
        <w:trPr>
          <w:cantSplit w:val="true"/>
        </w:trPr>
        <w:tc>
          <w:tcPr>
            <w:tcW w:type="dxa" w:w="2450"/>
            <w:tcMar>
              <w:top w:w="80" w:type="dxa"/>
              <w:start w:w="120" w:type="dxa"/>
              <w:bottom w:w="80" w:type="dxa"/>
              <w:end w:w="120" w:type="dxa"/>
            </w:tcMar>
            <w:vAlign w:val="center"/>
          </w:tcPr>
          <w:p>
            <w:pPr>
              <w:pStyle w:val="TableText"/>
            </w:pPr>
            <w:r>
              <w:rPr>
                <w:rFonts w:ascii="Calibri" w:hAnsi="Calibri"/>
                <w:sz w:val="19"/>
              </w:rPr>
              <w:t>Possible rediscovery</w:t>
            </w:r>
          </w:p>
        </w:tc>
        <w:tc>
          <w:tcPr>
            <w:tcW w:type="dxa" w:w="6910"/>
            <w:tcMar>
              <w:top w:w="80" w:type="dxa"/>
              <w:start w:w="120" w:type="dxa"/>
              <w:bottom w:w="80" w:type="dxa"/>
              <w:end w:w="120" w:type="dxa"/>
            </w:tcMar>
            <w:vAlign w:val="center"/>
          </w:tcPr>
          <w:p>
            <w:pPr>
              <w:pStyle w:val="TableText"/>
            </w:pPr>
            <w:r>
              <w:rPr>
                <w:rFonts w:ascii="Calibri" w:hAnsi="Calibri"/>
                <w:sz w:val="19"/>
              </w:rPr>
              <w:t>A strong semantic match is saved as Related and flagged for later operator review; the run does not pause.</w:t>
            </w:r>
          </w:p>
        </w:tc>
      </w:tr>
      <w:tr>
        <w:trPr>
          <w:cantSplit w:val="true"/>
        </w:trPr>
        <w:tc>
          <w:tcPr>
            <w:tcW w:type="dxa" w:w="2450"/>
            <w:tcMar>
              <w:top w:w="80" w:type="dxa"/>
              <w:start w:w="120" w:type="dxa"/>
              <w:bottom w:w="80" w:type="dxa"/>
              <w:end w:w="120" w:type="dxa"/>
            </w:tcMar>
            <w:vAlign w:val="center"/>
          </w:tcPr>
          <w:p>
            <w:pPr>
              <w:pStyle w:val="TableText"/>
            </w:pPr>
            <w:r>
              <w:rPr>
                <w:rFonts w:ascii="Calibri" w:hAnsi="Calibri"/>
                <w:sz w:val="19"/>
              </w:rPr>
              <w:t>Rediscovered</w:t>
            </w:r>
          </w:p>
        </w:tc>
        <w:tc>
          <w:tcPr>
            <w:tcW w:type="dxa" w:w="6910"/>
            <w:tcMar>
              <w:top w:w="80" w:type="dxa"/>
              <w:start w:w="120" w:type="dxa"/>
              <w:bottom w:w="80" w:type="dxa"/>
              <w:end w:w="120" w:type="dxa"/>
            </w:tcMar>
            <w:vAlign w:val="center"/>
          </w:tcPr>
          <w:p>
            <w:pPr>
              <w:pStyle w:val="TableText"/>
            </w:pPr>
            <w:r>
              <w:rPr>
                <w:rFonts w:ascii="Calibri" w:hAnsi="Calibri"/>
                <w:sz w:val="19"/>
              </w:rPr>
              <w:t>An exact normalized identity fingerprint matches automatically, or the operator later confirms a semantic match.</w:t>
            </w:r>
          </w:p>
        </w:tc>
      </w:tr>
      <w:tr>
        <w:trPr>
          <w:cantSplit w:val="true"/>
        </w:trPr>
        <w:tc>
          <w:tcPr>
            <w:tcW w:type="dxa" w:w="2450"/>
            <w:tcMar>
              <w:top w:w="80" w:type="dxa"/>
              <w:start w:w="120" w:type="dxa"/>
              <w:bottom w:w="80" w:type="dxa"/>
              <w:end w:w="120" w:type="dxa"/>
            </w:tcMar>
            <w:vAlign w:val="center"/>
          </w:tcPr>
          <w:p>
            <w:pPr>
              <w:pStyle w:val="TableText"/>
            </w:pPr>
            <w:r>
              <w:rPr>
                <w:rFonts w:ascii="Calibri" w:hAnsi="Calibri"/>
                <w:sz w:val="19"/>
              </w:rPr>
              <w:t>Updated</w:t>
            </w:r>
          </w:p>
        </w:tc>
        <w:tc>
          <w:tcPr>
            <w:tcW w:type="dxa" w:w="6910"/>
            <w:tcMar>
              <w:top w:w="80" w:type="dxa"/>
              <w:start w:w="120" w:type="dxa"/>
              <w:bottom w:w="80" w:type="dxa"/>
              <w:end w:w="120" w:type="dxa"/>
            </w:tcMar>
            <w:vAlign w:val="center"/>
          </w:tcPr>
          <w:p>
            <w:pPr>
              <w:pStyle w:val="TableText"/>
            </w:pPr>
            <w:r>
              <w:rPr>
                <w:rFonts w:ascii="Calibri" w:hAnsi="Calibri"/>
                <w:sz w:val="19"/>
              </w:rPr>
              <w:t>The operator confirms that a fully evaluated candidate is a materially changed version of an existing opportunity.</w:t>
            </w:r>
          </w:p>
        </w:tc>
      </w:tr>
    </w:tbl>
    <w:p>
      <w:pPr>
        <w:spacing w:after="0" w:line="120" w:lineRule="auto"/>
      </w:pPr>
    </w:p>
    <w:p>
      <w:pPr>
        <w:pStyle w:val="Heading2"/>
        <w:keepNext/>
      </w:pPr>
      <w:r>
        <w:t>10.3 Versioning and updates</w:t>
      </w:r>
    </w:p>
    <w:p>
      <w:pPr>
        <w:numPr>
          <w:ilvl w:val="0"/>
          <w:numId w:val="10"/>
        </w:numPr>
        <w:spacing w:after="160" w:line="280" w:lineRule="auto"/>
      </w:pPr>
      <w:r>
        <w:rPr>
          <w:rFonts w:ascii="Calibri" w:hAnsi="Calibri"/>
        </w:rPr>
        <w:t>Every evaluated version is immutable and contains a complete report, evidence snapshot, scores, verdict, embedding, fingerprint, and provenance.</w:t>
      </w:r>
    </w:p>
    <w:p>
      <w:pPr>
        <w:numPr>
          <w:ilvl w:val="0"/>
          <w:numId w:val="10"/>
        </w:numPr>
        <w:spacing w:after="160" w:line="280" w:lineRule="auto"/>
      </w:pPr>
      <w:r>
        <w:rPr>
          <w:rFonts w:ascii="Calibri" w:hAnsi="Calibri"/>
        </w:rPr>
        <w:t>The latest version is displayed by default; prior versions remain inspectable.</w:t>
      </w:r>
    </w:p>
    <w:p>
      <w:pPr>
        <w:numPr>
          <w:ilvl w:val="0"/>
          <w:numId w:val="10"/>
        </w:numPr>
        <w:spacing w:after="160" w:line="280" w:lineRule="auto"/>
      </w:pPr>
      <w:r>
        <w:rPr>
          <w:rFonts w:ascii="Calibri" w:hAnsi="Calibri"/>
        </w:rPr>
        <w:t>The system may suggest an update but never applies it automatically. Operator confirmation creates the new version.</w:t>
      </w:r>
    </w:p>
    <w:p>
      <w:pPr>
        <w:numPr>
          <w:ilvl w:val="0"/>
          <w:numId w:val="10"/>
        </w:numPr>
        <w:spacing w:after="160" w:line="280" w:lineRule="auto"/>
      </w:pPr>
      <w:r>
        <w:rPr>
          <w:rFonts w:ascii="Calibri" w:hAnsi="Calibri"/>
        </w:rPr>
        <w:t>Favorite and note belong to the stable opportunity and are not duplicated across versions.</w:t>
      </w:r>
    </w:p>
    <w:p>
      <w:pPr>
        <w:numPr>
          <w:ilvl w:val="0"/>
          <w:numId w:val="10"/>
        </w:numPr>
        <w:spacing w:after="160" w:line="280" w:lineRule="auto"/>
      </w:pPr>
      <w:r>
        <w:rPr>
          <w:rFonts w:ascii="Calibri" w:hAnsi="Calibri"/>
        </w:rPr>
        <w:t>Changing the embedding model and re-embedding historical data are deferred beyond v2.4.</w:t>
      </w:r>
    </w:p>
    <w:p>
      <w:pPr>
        <w:pStyle w:val="Heading2"/>
        <w:keepNext/>
      </w:pPr>
      <w:r>
        <w:t>10.4 Merge behavior</w:t>
      </w:r>
    </w:p>
    <w:p>
      <w:pPr>
        <w:numPr>
          <w:ilvl w:val="0"/>
          <w:numId w:val="10"/>
        </w:numPr>
        <w:spacing w:after="160" w:line="280" w:lineRule="auto"/>
      </w:pPr>
      <w:r>
        <w:rPr>
          <w:rFonts w:ascii="Calibri" w:hAnsi="Calibri"/>
        </w:rPr>
        <w:t>The system may suggest a possible duplicate but never merges automatically.</w:t>
      </w:r>
    </w:p>
    <w:p>
      <w:pPr>
        <w:numPr>
          <w:ilvl w:val="0"/>
          <w:numId w:val="10"/>
        </w:numPr>
        <w:spacing w:after="160" w:line="280" w:lineRule="auto"/>
      </w:pPr>
      <w:r>
        <w:rPr>
          <w:rFonts w:ascii="Calibri" w:hAnsi="Calibri"/>
        </w:rPr>
        <w:t>The operator selects the surviving opportunity and confirms the merge.</w:t>
      </w:r>
    </w:p>
    <w:p>
      <w:pPr>
        <w:numPr>
          <w:ilvl w:val="0"/>
          <w:numId w:val="10"/>
        </w:numPr>
        <w:spacing w:after="160" w:line="280" w:lineRule="auto"/>
      </w:pPr>
      <w:r>
        <w:rPr>
          <w:rFonts w:ascii="Calibri" w:hAnsi="Calibri"/>
        </w:rPr>
        <w:t>Both original records and their versions remain preserved; one is marked as merged into the other.</w:t>
      </w:r>
    </w:p>
    <w:p>
      <w:pPr>
        <w:numPr>
          <w:ilvl w:val="0"/>
          <w:numId w:val="10"/>
        </w:numPr>
        <w:spacing w:after="160" w:line="280" w:lineRule="auto"/>
      </w:pPr>
      <w:r>
        <w:rPr>
          <w:rFonts w:ascii="Calibri" w:hAnsi="Calibri"/>
        </w:rPr>
        <w:t>Scores, reports, evidence, favorites, and notes are not automatically combined.</w:t>
      </w:r>
    </w:p>
    <w:p>
      <w:pPr>
        <w:numPr>
          <w:ilvl w:val="0"/>
          <w:numId w:val="10"/>
        </w:numPr>
        <w:spacing w:after="160" w:line="280" w:lineRule="auto"/>
      </w:pPr>
      <w:r>
        <w:rPr>
          <w:rFonts w:ascii="Calibri" w:hAnsi="Calibri"/>
        </w:rPr>
        <w:t>A merge is reversible, and the reversal is recorded as a lifecycle event.</w:t>
      </w:r>
    </w:p>
    <w:p>
      <w:pPr>
        <w:pStyle w:val="Heading1"/>
        <w:keepNext/>
      </w:pPr>
      <w:r>
        <w:t>11. Portfolio and user interface</w:t>
      </w:r>
    </w:p>
    <w:p>
      <w:pPr>
        <w:pStyle w:val="Heading2"/>
        <w:keepNext/>
      </w:pPr>
      <w:r>
        <w:t>11.1 Required screens</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F2F4F7"/>
          </w:tcPr>
          <w:p>
            <w:pPr>
              <w:pStyle w:val="TableText"/>
              <w:keepNext/>
            </w:pPr>
            <w:r>
              <w:rPr>
                <w:rFonts w:ascii="Calibri" w:hAnsi="Calibri"/>
                <w:b/>
                <w:color w:val="0B2545"/>
                <w:sz w:val="19"/>
              </w:rPr>
              <w:t>Screen</w:t>
            </w:r>
          </w:p>
        </w:tc>
        <w:tc>
          <w:tcPr>
            <w:tcW w:type="dxa" w:w="7160"/>
            <w:tcMar>
              <w:top w:w="80" w:type="dxa"/>
              <w:start w:w="120" w:type="dxa"/>
              <w:bottom w:w="80" w:type="dxa"/>
              <w:end w:w="120" w:type="dxa"/>
            </w:tcMar>
            <w:vAlign w:val="center"/>
            <w:shd w:fill="F2F4F7"/>
          </w:tcPr>
          <w:p>
            <w:pPr>
              <w:pStyle w:val="TableText"/>
              <w:keepNext/>
            </w:pPr>
            <w:r>
              <w:rPr>
                <w:rFonts w:ascii="Calibri" w:hAnsi="Calibri"/>
                <w:b/>
                <w:color w:val="0B2545"/>
                <w:sz w:val="19"/>
              </w:rPr>
              <w:t>Minimum behavior</w:t>
            </w:r>
          </w:p>
        </w:tc>
      </w:tr>
      <w:tr>
        <w:trPr>
          <w:cantSplit w:val="true"/>
        </w:trPr>
        <w:tc>
          <w:tcPr>
            <w:tcW w:type="dxa" w:w="2200"/>
            <w:tcMar>
              <w:top w:w="80" w:type="dxa"/>
              <w:start w:w="120" w:type="dxa"/>
              <w:bottom w:w="80" w:type="dxa"/>
              <w:end w:w="120" w:type="dxa"/>
            </w:tcMar>
            <w:vAlign w:val="center"/>
          </w:tcPr>
          <w:p>
            <w:pPr>
              <w:pStyle w:val="TableText"/>
            </w:pPr>
            <w:r>
              <w:rPr>
                <w:rFonts w:ascii="Calibri" w:hAnsi="Calibri"/>
                <w:sz w:val="19"/>
              </w:rPr>
              <w:t>Current run</w:t>
            </w:r>
          </w:p>
        </w:tc>
        <w:tc>
          <w:tcPr>
            <w:tcW w:type="dxa" w:w="7160"/>
            <w:tcMar>
              <w:top w:w="80" w:type="dxa"/>
              <w:start w:w="120" w:type="dxa"/>
              <w:bottom w:w="80" w:type="dxa"/>
              <w:end w:w="120" w:type="dxa"/>
            </w:tcMar>
            <w:vAlign w:val="center"/>
          </w:tcPr>
          <w:p>
            <w:pPr>
              <w:pStyle w:val="TableText"/>
            </w:pPr>
            <w:r>
              <w:rPr>
                <w:rFonts w:ascii="Calibri" w:hAnsi="Calibri"/>
                <w:sz w:val="19"/>
              </w:rPr>
              <w:t>Start from saved settings; show state, current stage, recent progress, token/work use, five-opportunity target, committed distinct count, automatic exact rediscoveries, reserved/remaining work, warnings, explicit shortfall reason, and Stop.</w:t>
            </w:r>
          </w:p>
        </w:tc>
      </w:tr>
      <w:tr>
        <w:trPr>
          <w:cantSplit w:val="true"/>
        </w:trPr>
        <w:tc>
          <w:tcPr>
            <w:tcW w:type="dxa" w:w="2200"/>
            <w:tcMar>
              <w:top w:w="80" w:type="dxa"/>
              <w:start w:w="120" w:type="dxa"/>
              <w:bottom w:w="80" w:type="dxa"/>
              <w:end w:w="120" w:type="dxa"/>
            </w:tcMar>
            <w:vAlign w:val="center"/>
          </w:tcPr>
          <w:p>
            <w:pPr>
              <w:pStyle w:val="TableText"/>
            </w:pPr>
            <w:r>
              <w:rPr>
                <w:rFonts w:ascii="Calibri" w:hAnsi="Calibri"/>
                <w:sz w:val="19"/>
              </w:rPr>
              <w:t>Opportunities</w:t>
            </w:r>
          </w:p>
        </w:tc>
        <w:tc>
          <w:tcPr>
            <w:tcW w:type="dxa" w:w="7160"/>
            <w:tcMar>
              <w:top w:w="80" w:type="dxa"/>
              <w:start w:w="120" w:type="dxa"/>
              <w:bottom w:w="80" w:type="dxa"/>
              <w:end w:w="120" w:type="dxa"/>
            </w:tcMar>
            <w:vAlign w:val="center"/>
          </w:tcPr>
          <w:p>
            <w:pPr>
              <w:pStyle w:val="TableText"/>
            </w:pPr>
            <w:r>
              <w:rPr>
                <w:rFonts w:ascii="Calibri" w:hAnsi="Calibri"/>
                <w:sz w:val="19"/>
              </w:rPr>
              <w:t>Show retained opportunities with industry-only filtering and sorting on supported data types. Default order: verdict, weighted score, evidence score, newest version date.</w:t>
            </w:r>
          </w:p>
        </w:tc>
      </w:tr>
      <w:tr>
        <w:trPr>
          <w:cantSplit w:val="true"/>
        </w:trPr>
        <w:tc>
          <w:tcPr>
            <w:tcW w:type="dxa" w:w="2200"/>
            <w:tcMar>
              <w:top w:w="80" w:type="dxa"/>
              <w:start w:w="120" w:type="dxa"/>
              <w:bottom w:w="80" w:type="dxa"/>
              <w:end w:w="120" w:type="dxa"/>
            </w:tcMar>
            <w:vAlign w:val="center"/>
          </w:tcPr>
          <w:p>
            <w:pPr>
              <w:pStyle w:val="TableText"/>
            </w:pPr>
            <w:r>
              <w:rPr>
                <w:rFonts w:ascii="Calibri" w:hAnsi="Calibri"/>
                <w:sz w:val="19"/>
              </w:rPr>
              <w:t>Opportunity detail</w:t>
            </w:r>
          </w:p>
        </w:tc>
        <w:tc>
          <w:tcPr>
            <w:tcW w:type="dxa" w:w="7160"/>
            <w:tcMar>
              <w:top w:w="80" w:type="dxa"/>
              <w:start w:w="120" w:type="dxa"/>
              <w:bottom w:w="80" w:type="dxa"/>
              <w:end w:w="120" w:type="dxa"/>
            </w:tcMar>
            <w:vAlign w:val="center"/>
          </w:tcPr>
          <w:p>
            <w:pPr>
              <w:pStyle w:val="TableText"/>
            </w:pPr>
            <w:r>
              <w:rPr>
                <w:rFonts w:ascii="Calibri" w:hAnsi="Calibri"/>
                <w:sz w:val="19"/>
              </w:rPr>
              <w:t>Show complete current report, origin problem pattern and signals, evidence chain, scores, verdict, related links, possible-rediscovery indicator, versions, favorite, note, and actions.</w:t>
            </w:r>
          </w:p>
        </w:tc>
      </w:tr>
      <w:tr>
        <w:trPr>
          <w:cantSplit w:val="true"/>
        </w:trPr>
        <w:tc>
          <w:tcPr>
            <w:tcW w:type="dxa" w:w="2200"/>
            <w:tcMar>
              <w:top w:w="80" w:type="dxa"/>
              <w:start w:w="120" w:type="dxa"/>
              <w:bottom w:w="80" w:type="dxa"/>
              <w:end w:w="120" w:type="dxa"/>
            </w:tcMar>
            <w:vAlign w:val="center"/>
          </w:tcPr>
          <w:p>
            <w:pPr>
              <w:pStyle w:val="TableText"/>
            </w:pPr>
            <w:r>
              <w:rPr>
                <w:rFonts w:ascii="Calibri" w:hAnsi="Calibri"/>
                <w:sz w:val="19"/>
              </w:rPr>
              <w:t>Settings</w:t>
            </w:r>
          </w:p>
        </w:tc>
        <w:tc>
          <w:tcPr>
            <w:tcW w:type="dxa" w:w="7160"/>
            <w:tcMar>
              <w:top w:w="80" w:type="dxa"/>
              <w:start w:w="120" w:type="dxa"/>
              <w:bottom w:w="80" w:type="dxa"/>
              <w:end w:w="120" w:type="dxa"/>
            </w:tcMar>
            <w:vAlign w:val="center"/>
          </w:tcPr>
          <w:p>
            <w:pPr>
              <w:pStyle w:val="TableText"/>
            </w:pPr>
            <w:r>
              <w:rPr>
                <w:rFonts w:ascii="Calibri" w:hAnsi="Calibri"/>
                <w:sz w:val="19"/>
              </w:rPr>
              <w:t>Edit saved operator settings, validate every value, show required-service health, and restore protected shipped defaults.</w:t>
            </w:r>
          </w:p>
        </w:tc>
      </w:tr>
    </w:tbl>
    <w:p>
      <w:pPr>
        <w:spacing w:after="0" w:line="120" w:lineRule="auto"/>
      </w:pPr>
    </w:p>
    <w:p>
      <w:pPr>
        <w:pStyle w:val="Heading2"/>
        <w:keepNext/>
      </w:pPr>
      <w:r>
        <w:t>11.2 Opportunity actions</w:t>
      </w:r>
    </w:p>
    <w:p>
      <w:pPr>
        <w:numPr>
          <w:ilvl w:val="0"/>
          <w:numId w:val="10"/>
        </w:numPr>
        <w:spacing w:after="160" w:line="280" w:lineRule="auto"/>
      </w:pPr>
      <w:r>
        <w:rPr>
          <w:rFonts w:ascii="Calibri" w:hAnsi="Calibri"/>
        </w:rPr>
        <w:t>Favorite or unfavorite an opportunity.</w:t>
      </w:r>
    </w:p>
    <w:p>
      <w:pPr>
        <w:numPr>
          <w:ilvl w:val="0"/>
          <w:numId w:val="10"/>
        </w:numPr>
        <w:spacing w:after="160" w:line="280" w:lineRule="auto"/>
      </w:pPr>
      <w:r>
        <w:rPr>
          <w:rFonts w:ascii="Calibri" w:hAnsi="Calibri"/>
        </w:rPr>
        <w:t>Save or edit one free-text operator note.</w:t>
      </w:r>
    </w:p>
    <w:p>
      <w:pPr>
        <w:numPr>
          <w:ilvl w:val="0"/>
          <w:numId w:val="10"/>
        </w:numPr>
        <w:spacing w:after="160" w:line="280" w:lineRule="auto"/>
      </w:pPr>
      <w:r>
        <w:rPr>
          <w:rFonts w:ascii="Calibri" w:hAnsi="Calibri"/>
        </w:rPr>
        <w:t>Review a possible rediscovery and confirm Rediscovered, create an Updated version, or leave the item Related.</w:t>
      </w:r>
    </w:p>
    <w:p>
      <w:pPr>
        <w:numPr>
          <w:ilvl w:val="0"/>
          <w:numId w:val="10"/>
        </w:numPr>
        <w:spacing w:after="160" w:line="280" w:lineRule="auto"/>
      </w:pPr>
      <w:r>
        <w:rPr>
          <w:rFonts w:ascii="Calibri" w:hAnsi="Calibri"/>
        </w:rPr>
        <w:t>Confirm a manual non-destructive merge and undo a prior merge.</w:t>
      </w:r>
    </w:p>
    <w:p>
      <w:pPr>
        <w:numPr>
          <w:ilvl w:val="0"/>
          <w:numId w:val="10"/>
        </w:numPr>
        <w:spacing w:after="160" w:line="280" w:lineRule="auto"/>
      </w:pPr>
      <w:r>
        <w:rPr>
          <w:rFonts w:ascii="Calibri" w:hAnsi="Calibri"/>
        </w:rPr>
        <w:t>Permanently delete an opportunity after explicit confirmation. Deletion removes its versions, relations, favorite, note, and exclusively owned evidence/pattern data; shared records remain only while referenced by another opportunity.</w:t>
      </w:r>
    </w:p>
    <w:p>
      <w:pPr>
        <w:numPr>
          <w:ilvl w:val="0"/>
          <w:numId w:val="10"/>
        </w:numPr>
        <w:spacing w:after="160" w:line="280" w:lineRule="auto"/>
      </w:pPr>
      <w:r>
        <w:rPr>
          <w:rFonts w:ascii="Calibri" w:hAnsi="Calibri"/>
        </w:rPr>
        <w:t>Inspect but never directly edit system scores, verdicts, evidence, or report fields.</w:t>
      </w:r>
    </w:p>
    <w:p>
      <w:pPr>
        <w:pStyle w:val="Heading2"/>
        <w:keepNext/>
      </w:pPr>
      <w:r>
        <w:t>11.3 Deliberate UI exclusions</w:t>
      </w:r>
    </w:p>
    <w:p>
      <w:r>
        <w:rPr>
          <w:rFonts w:ascii="Calibri" w:hAnsi="Calibri"/>
        </w:rPr>
        <w:t>There is no run-history screen, developer-debug screen, similarity graph, cluster management interface, source library, custom tagging, folders, workflow board, score editor, advanced threshold page, or temporary per-run override panel.</w:t>
      </w:r>
    </w:p>
    <w:p>
      <w:pPr>
        <w:pStyle w:val="Heading1"/>
        <w:keepNext/>
      </w:pPr>
      <w:r>
        <w:t>12. Models and configuration</w:t>
      </w:r>
    </w:p>
    <w:p>
      <w:pPr>
        <w:pStyle w:val="Heading2"/>
        <w:keepNext/>
      </w:pPr>
      <w:r>
        <w:t>12.1 Local model contract</w:t>
      </w:r>
    </w:p>
    <w:p>
      <w:pPr>
        <w:numPr>
          <w:ilvl w:val="0"/>
          <w:numId w:val="10"/>
        </w:numPr>
        <w:spacing w:after="160" w:line="280" w:lineRule="auto"/>
      </w:pPr>
      <w:r>
        <w:rPr>
          <w:rFonts w:ascii="Calibri" w:hAnsi="Calibri"/>
        </w:rPr>
        <w:t>One fixed local chat model serves all four agent roles through llama.cpp with role-specific prompts, schemas, and controlled inference parameters.</w:t>
      </w:r>
    </w:p>
    <w:p>
      <w:pPr>
        <w:numPr>
          <w:ilvl w:val="0"/>
          <w:numId w:val="10"/>
        </w:numPr>
        <w:spacing w:after="160" w:line="280" w:lineRule="auto"/>
      </w:pPr>
      <w:r>
        <w:rPr>
          <w:rFonts w:ascii="Calibri" w:hAnsi="Calibri"/>
        </w:rPr>
        <w:t>One small fixed local embedding model serves embeddings through a separate local endpoint.</w:t>
      </w:r>
    </w:p>
    <w:p>
      <w:pPr>
        <w:numPr>
          <w:ilvl w:val="0"/>
          <w:numId w:val="10"/>
        </w:numPr>
        <w:spacing w:after="160" w:line="280" w:lineRule="auto"/>
      </w:pPr>
      <w:r>
        <w:rPr>
          <w:rFonts w:ascii="Calibri" w:hAnsi="Calibri"/>
        </w:rPr>
        <w:t>At Pensae Signal startup, the Fedora launcher health-checks both llama.cpp endpoints, starts only missing servers from protected executable/model/argument configuration, waits a bounded time for readiness, and records the processes it owns. It reuses healthy compatible endpoints, never kills an unknown process, and stops only processes it started. The UI may open in degraded mode after a launch failure, but run start blocks until both endpoint capability checks pass.</w:t>
      </w:r>
    </w:p>
    <w:p>
      <w:pPr>
        <w:numPr>
          <w:ilvl w:val="0"/>
          <w:numId w:val="10"/>
        </w:numPr>
        <w:spacing w:after="160" w:line="280" w:lineRule="auto"/>
      </w:pPr>
      <w:r>
        <w:rPr>
          <w:rFonts w:ascii="Calibri" w:hAnsi="Calibri"/>
        </w:rPr>
        <w:t>The PRD does not prescribe exact model names. Development selects models that fit the workstation's native Fedora 44 hardware and NVIDIA GPU runtime, comply with their licenses, and pass the offline evaluation set.</w:t>
      </w:r>
    </w:p>
    <w:p>
      <w:pPr>
        <w:numPr>
          <w:ilvl w:val="0"/>
          <w:numId w:val="10"/>
        </w:numPr>
        <w:spacing w:after="160" w:line="280" w:lineRule="auto"/>
      </w:pPr>
      <w:r>
        <w:rPr>
          <w:rFonts w:ascii="Calibri" w:hAnsi="Calibri"/>
        </w:rPr>
        <w:t>Model files are not included in the GitHub repository. Installation documentation provides download instructions and makes the separate model license visible.</w:t>
      </w:r>
    </w:p>
    <w:p>
      <w:pPr>
        <w:numPr>
          <w:ilvl w:val="0"/>
          <w:numId w:val="10"/>
        </w:numPr>
        <w:spacing w:after="160" w:line="280" w:lineRule="auto"/>
      </w:pPr>
      <w:r>
        <w:rPr>
          <w:rFonts w:ascii="Calibri" w:hAnsi="Calibri"/>
        </w:rPr>
        <w:t>Local LLM calls execute sequentially by default. Bounded search and retrieval work may be parallelized conservatively.</w:t>
      </w:r>
    </w:p>
    <w:p>
      <w:pPr>
        <w:pStyle w:val="Heading2"/>
        <w:keepNext/>
      </w:pPr>
      <w:r>
        <w:t>12.2 Saved settings</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250"/>
        <w:gridCol w:w="7110"/>
      </w:tblGrid>
      <w:tr>
        <w:trPr>
          <w:tblHeader w:val="true"/>
          <w:cantSplit w:val="true"/>
        </w:trPr>
        <w:tc>
          <w:tcPr>
            <w:tcW w:type="dxa" w:w="2250"/>
            <w:tcMar>
              <w:top w:w="80" w:type="dxa"/>
              <w:start w:w="120" w:type="dxa"/>
              <w:bottom w:w="80" w:type="dxa"/>
              <w:end w:w="120" w:type="dxa"/>
            </w:tcMar>
            <w:vAlign w:val="center"/>
            <w:shd w:fill="F2F4F7"/>
          </w:tcPr>
          <w:p>
            <w:pPr>
              <w:pStyle w:val="TableText"/>
              <w:keepNext/>
            </w:pPr>
            <w:r>
              <w:rPr>
                <w:rFonts w:ascii="Calibri" w:hAnsi="Calibri"/>
                <w:b/>
                <w:color w:val="0B2545"/>
                <w:sz w:val="19"/>
              </w:rPr>
              <w:t>Area</w:t>
            </w:r>
          </w:p>
        </w:tc>
        <w:tc>
          <w:tcPr>
            <w:tcW w:type="dxa" w:w="7110"/>
            <w:tcMar>
              <w:top w:w="80" w:type="dxa"/>
              <w:start w:w="120" w:type="dxa"/>
              <w:bottom w:w="80" w:type="dxa"/>
              <w:end w:w="120" w:type="dxa"/>
            </w:tcMar>
            <w:vAlign w:val="center"/>
            <w:shd w:fill="F2F4F7"/>
          </w:tcPr>
          <w:p>
            <w:pPr>
              <w:pStyle w:val="TableText"/>
              <w:keepNext/>
            </w:pPr>
            <w:r>
              <w:rPr>
                <w:rFonts w:ascii="Calibri" w:hAnsi="Calibri"/>
                <w:b/>
                <w:color w:val="0B2545"/>
                <w:sz w:val="19"/>
              </w:rPr>
              <w:t>Saved prototype settings</w:t>
            </w:r>
          </w:p>
        </w:tc>
      </w:tr>
      <w:tr>
        <w:trPr>
          <w:cantSplit w:val="true"/>
        </w:trPr>
        <w:tc>
          <w:tcPr>
            <w:tcW w:type="dxa" w:w="2250"/>
            <w:tcMar>
              <w:top w:w="80" w:type="dxa"/>
              <w:start w:w="120" w:type="dxa"/>
              <w:bottom w:w="80" w:type="dxa"/>
              <w:end w:w="120" w:type="dxa"/>
            </w:tcMar>
            <w:vAlign w:val="center"/>
          </w:tcPr>
          <w:p>
            <w:pPr>
              <w:pStyle w:val="TableText"/>
            </w:pPr>
            <w:r>
              <w:rPr>
                <w:rFonts w:ascii="Calibri" w:hAnsi="Calibri"/>
                <w:sz w:val="19"/>
              </w:rPr>
              <w:t>Research</w:t>
            </w:r>
          </w:p>
        </w:tc>
        <w:tc>
          <w:tcPr>
            <w:tcW w:type="dxa" w:w="7110"/>
            <w:tcMar>
              <w:top w:w="80" w:type="dxa"/>
              <w:start w:w="120" w:type="dxa"/>
              <w:bottom w:w="80" w:type="dxa"/>
              <w:end w:w="120" w:type="dxa"/>
            </w:tcMar>
            <w:vAlign w:val="center"/>
          </w:tcPr>
          <w:p>
            <w:pPr>
              <w:pStyle w:val="TableText"/>
            </w:pPr>
            <w:r>
              <w:rPr>
                <w:rFonts w:ascii="Calibri" w:hAnsi="Calibri"/>
                <w:sz w:val="19"/>
              </w:rPr>
              <w:t>Optional plain-language focus, United States and English defaults, and broad or directed problem-discovery mode.</w:t>
            </w:r>
          </w:p>
        </w:tc>
      </w:tr>
      <w:tr>
        <w:trPr>
          <w:cantSplit w:val="true"/>
        </w:trPr>
        <w:tc>
          <w:tcPr>
            <w:tcW w:type="dxa" w:w="2250"/>
            <w:tcMar>
              <w:top w:w="80" w:type="dxa"/>
              <w:start w:w="120" w:type="dxa"/>
              <w:bottom w:w="80" w:type="dxa"/>
              <w:end w:w="120" w:type="dxa"/>
            </w:tcMar>
            <w:vAlign w:val="center"/>
          </w:tcPr>
          <w:p>
            <w:pPr>
              <w:pStyle w:val="TableText"/>
            </w:pPr>
            <w:r>
              <w:rPr>
                <w:rFonts w:ascii="Calibri" w:hAnsi="Calibri"/>
                <w:sz w:val="19"/>
              </w:rPr>
              <w:t>Pensae feasibility</w:t>
            </w:r>
          </w:p>
        </w:tc>
        <w:tc>
          <w:tcPr>
            <w:tcW w:type="dxa" w:w="7110"/>
            <w:tcMar>
              <w:top w:w="80" w:type="dxa"/>
              <w:start w:w="120" w:type="dxa"/>
              <w:bottom w:w="80" w:type="dxa"/>
              <w:end w:w="120" w:type="dxa"/>
            </w:tcMar>
            <w:vAlign w:val="center"/>
          </w:tcPr>
          <w:p>
            <w:pPr>
              <w:pStyle w:val="TableText"/>
            </w:pPr>
            <w:r>
              <w:rPr>
                <w:rFonts w:ascii="Calibri" w:hAnsi="Calibri"/>
                <w:sz w:val="19"/>
              </w:rPr>
              <w:t>Preferred technologies/capabilities. Shipped values include Python, TypeScript, and C++; these influence feasibility but never restrict discovery.</w:t>
            </w:r>
          </w:p>
        </w:tc>
      </w:tr>
      <w:tr>
        <w:trPr>
          <w:cantSplit w:val="true"/>
        </w:trPr>
        <w:tc>
          <w:tcPr>
            <w:tcW w:type="dxa" w:w="2250"/>
            <w:tcMar>
              <w:top w:w="80" w:type="dxa"/>
              <w:start w:w="120" w:type="dxa"/>
              <w:bottom w:w="80" w:type="dxa"/>
              <w:end w:w="120" w:type="dxa"/>
            </w:tcMar>
            <w:vAlign w:val="center"/>
          </w:tcPr>
          <w:p>
            <w:pPr>
              <w:pStyle w:val="TableText"/>
            </w:pPr>
            <w:r>
              <w:rPr>
                <w:rFonts w:ascii="Calibri" w:hAnsi="Calibri"/>
                <w:sz w:val="19"/>
              </w:rPr>
              <w:t>Workflow bounds</w:t>
            </w:r>
          </w:p>
        </w:tc>
        <w:tc>
          <w:tcPr>
            <w:tcW w:type="dxa" w:w="7110"/>
            <w:tcMar>
              <w:top w:w="80" w:type="dxa"/>
              <w:start w:w="120" w:type="dxa"/>
              <w:bottom w:w="80" w:type="dxa"/>
              <w:end w:w="120" w:type="dxa"/>
            </w:tcMar>
            <w:vAlign w:val="center"/>
          </w:tcPr>
          <w:p>
            <w:pPr>
              <w:pStyle w:val="TableText"/>
            </w:pPr>
            <w:r>
              <w:rPr>
                <w:rFonts w:ascii="Calibri" w:hAnsi="Calibri"/>
                <w:sz w:val="19"/>
              </w:rPr>
              <w:t>Validated future-run ceilings for queries, results, sources, signals, patterns, segments, concepts, retries, timeouts, per-call tokens, and total run tokens. The target of five and finalization-reserve policy are protected.</w:t>
            </w:r>
          </w:p>
        </w:tc>
      </w:tr>
      <w:tr>
        <w:trPr>
          <w:cantSplit w:val="true"/>
        </w:trPr>
        <w:tc>
          <w:tcPr>
            <w:tcW w:type="dxa" w:w="2250"/>
            <w:tcMar>
              <w:top w:w="80" w:type="dxa"/>
              <w:start w:w="120" w:type="dxa"/>
              <w:bottom w:w="80" w:type="dxa"/>
              <w:end w:w="120" w:type="dxa"/>
            </w:tcMar>
            <w:vAlign w:val="center"/>
          </w:tcPr>
          <w:p>
            <w:pPr>
              <w:pStyle w:val="TableText"/>
            </w:pPr>
            <w:r>
              <w:rPr>
                <w:rFonts w:ascii="Calibri" w:hAnsi="Calibri"/>
                <w:sz w:val="19"/>
              </w:rPr>
              <w:t>Local endpoints</w:t>
            </w:r>
          </w:p>
        </w:tc>
        <w:tc>
          <w:tcPr>
            <w:tcW w:type="dxa" w:w="7110"/>
            <w:tcMar>
              <w:top w:w="80" w:type="dxa"/>
              <w:start w:w="120" w:type="dxa"/>
              <w:bottom w:w="80" w:type="dxa"/>
              <w:end w:w="120" w:type="dxa"/>
            </w:tcMar>
            <w:vAlign w:val="center"/>
          </w:tcPr>
          <w:p>
            <w:pPr>
              <w:pStyle w:val="TableText"/>
            </w:pPr>
            <w:r>
              <w:rPr>
                <w:rFonts w:ascii="Calibri" w:hAnsi="Calibri"/>
                <w:sz w:val="19"/>
              </w:rPr>
              <w:t>Application-visible local SearXNG, chat-model, embedding-model, PostgreSQL, and Redis connection settings appropriate to installation.</w:t>
            </w:r>
          </w:p>
        </w:tc>
      </w:tr>
      <w:tr>
        <w:trPr>
          <w:cantSplit w:val="true"/>
        </w:trPr>
        <w:tc>
          <w:tcPr>
            <w:tcW w:type="dxa" w:w="2250"/>
            <w:tcMar>
              <w:top w:w="80" w:type="dxa"/>
              <w:start w:w="120" w:type="dxa"/>
              <w:bottom w:w="80" w:type="dxa"/>
              <w:end w:w="120" w:type="dxa"/>
            </w:tcMar>
            <w:vAlign w:val="center"/>
          </w:tcPr>
          <w:p>
            <w:pPr>
              <w:pStyle w:val="TableText"/>
            </w:pPr>
            <w:r>
              <w:rPr>
                <w:rFonts w:ascii="Calibri" w:hAnsi="Calibri"/>
                <w:sz w:val="19"/>
              </w:rPr>
              <w:t>Logging</w:t>
            </w:r>
          </w:p>
        </w:tc>
        <w:tc>
          <w:tcPr>
            <w:tcW w:type="dxa" w:w="7110"/>
            <w:tcMar>
              <w:top w:w="80" w:type="dxa"/>
              <w:start w:w="120" w:type="dxa"/>
              <w:bottom w:w="80" w:type="dxa"/>
              <w:end w:w="120" w:type="dxa"/>
            </w:tcMar>
            <w:vAlign w:val="center"/>
          </w:tcPr>
          <w:p>
            <w:pPr>
              <w:pStyle w:val="TableText"/>
            </w:pPr>
            <w:r>
              <w:rPr>
                <w:rFonts w:ascii="Calibri" w:hAnsi="Calibri"/>
                <w:sz w:val="19"/>
              </w:rPr>
              <w:t>Normal log rotation settings. Verbose developer logging is controlled outside the normal UI through an environment value.</w:t>
            </w:r>
          </w:p>
        </w:tc>
      </w:tr>
    </w:tbl>
    <w:p>
      <w:pPr>
        <w:spacing w:after="0" w:line="120" w:lineRule="auto"/>
      </w:pPr>
    </w:p>
    <w:p>
      <w:r>
        <w:rPr>
          <w:rFonts w:ascii="Calibri" w:hAnsi="Calibri"/>
        </w:rPr>
        <w:t>Protected shipped defaults cannot be overwritten. Saved operator settings apply to future runs, and Reset to defaults restores the shipped baseline. There are no temporary per-run overrides. The five-opportunity target, budget-reservation policy, embedding model identifier, vector dimension, similarity thresholds, prompt/workflow versions, and security limits are protected system defaults rather than normal operator settings; supported work ceilings remain validated future-run settings within protected ranges.</w:t>
      </w:r>
    </w:p>
    <w:p>
      <w:pPr>
        <w:pStyle w:val="Heading2"/>
        <w:keepNext/>
      </w:pPr>
      <w:r>
        <w:t>12.3 Token and work accounting</w:t>
      </w:r>
    </w:p>
    <w:p>
      <w:r>
        <w:rPr>
          <w:rFonts w:ascii="Calibri" w:hAnsi="Calibri"/>
        </w:rPr>
        <w:t>The application records input/output tokens per call when provided by llama.cpp, totals by agent role and model, and total run tokens. It also records bounded counts for queries, retrieved sources, candidates admitted/evaluated, committed opportunities, automatic exact rediscoveries, repairs, retries, reserved work, and remaining work. Terminal state exposes the target, achieved count, and a machine-readable shortfall reason when fewer than five distinct opportunities commit. These measurements control runaway work and support learning; they are not monetary cost estimates.</w:t>
      </w:r>
    </w:p>
    <w:p>
      <w:pPr>
        <w:pStyle w:val="Heading1"/>
        <w:keepNext/>
      </w:pPr>
      <w:r>
        <w:t>13. Data lifecycle, retention, and diagnostics</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00"/>
        <w:gridCol w:w="7060"/>
      </w:tblGrid>
      <w:tr>
        <w:trPr>
          <w:tblHeader w:val="true"/>
          <w:cantSplit w:val="true"/>
        </w:trPr>
        <w:tc>
          <w:tcPr>
            <w:tcW w:type="dxa" w:w="2300"/>
            <w:tcMar>
              <w:top w:w="80" w:type="dxa"/>
              <w:start w:w="120" w:type="dxa"/>
              <w:bottom w:w="80" w:type="dxa"/>
              <w:end w:w="120" w:type="dxa"/>
            </w:tcMar>
            <w:vAlign w:val="center"/>
            <w:shd w:fill="F2F4F7"/>
          </w:tcPr>
          <w:p>
            <w:pPr>
              <w:pStyle w:val="TableText"/>
              <w:keepNext/>
            </w:pPr>
            <w:r>
              <w:rPr>
                <w:rFonts w:ascii="Calibri" w:hAnsi="Calibri"/>
                <w:b/>
                <w:color w:val="0B2545"/>
                <w:sz w:val="19"/>
              </w:rPr>
              <w:t>Data</w:t>
            </w:r>
          </w:p>
        </w:tc>
        <w:tc>
          <w:tcPr>
            <w:tcW w:type="dxa" w:w="7060"/>
            <w:tcMar>
              <w:top w:w="80" w:type="dxa"/>
              <w:start w:w="120" w:type="dxa"/>
              <w:bottom w:w="80" w:type="dxa"/>
              <w:end w:w="120" w:type="dxa"/>
            </w:tcMar>
            <w:vAlign w:val="center"/>
            <w:shd w:fill="F2F4F7"/>
          </w:tcPr>
          <w:p>
            <w:pPr>
              <w:pStyle w:val="TableText"/>
              <w:keepNext/>
            </w:pPr>
            <w:r>
              <w:rPr>
                <w:rFonts w:ascii="Calibri" w:hAnsi="Calibri"/>
                <w:b/>
                <w:color w:val="0B2545"/>
                <w:sz w:val="19"/>
              </w:rPr>
              <w:t>Retention rule</w:t>
            </w:r>
          </w:p>
        </w:tc>
      </w:tr>
      <w:tr>
        <w:trPr>
          <w:cantSplit w:val="true"/>
        </w:trPr>
        <w:tc>
          <w:tcPr>
            <w:tcW w:type="dxa" w:w="2300"/>
            <w:tcMar>
              <w:top w:w="80" w:type="dxa"/>
              <w:start w:w="120" w:type="dxa"/>
              <w:bottom w:w="80" w:type="dxa"/>
              <w:end w:w="120" w:type="dxa"/>
            </w:tcMar>
            <w:vAlign w:val="center"/>
          </w:tcPr>
          <w:p>
            <w:pPr>
              <w:pStyle w:val="TableText"/>
            </w:pPr>
            <w:r>
              <w:rPr>
                <w:rFonts w:ascii="Calibri" w:hAnsi="Calibri"/>
                <w:sz w:val="19"/>
              </w:rPr>
              <w:t>Opportunity and versions</w:t>
            </w:r>
          </w:p>
        </w:tc>
        <w:tc>
          <w:tcPr>
            <w:tcW w:type="dxa" w:w="7060"/>
            <w:tcMar>
              <w:top w:w="80" w:type="dxa"/>
              <w:start w:w="120" w:type="dxa"/>
              <w:bottom w:w="80" w:type="dxa"/>
              <w:end w:w="120" w:type="dxa"/>
            </w:tcMar>
            <w:vAlign w:val="center"/>
          </w:tcPr>
          <w:p>
            <w:pPr>
              <w:pStyle w:val="TableText"/>
            </w:pPr>
            <w:r>
              <w:rPr>
                <w:rFonts w:ascii="Calibri" w:hAnsi="Calibri"/>
                <w:sz w:val="19"/>
              </w:rPr>
              <w:t>Retained until permanent manual deletion, including reports, scores, verdicts, provenance, relations, favorite, note, and minimum supporting research.</w:t>
            </w:r>
          </w:p>
        </w:tc>
      </w:tr>
      <w:tr>
        <w:trPr>
          <w:cantSplit w:val="true"/>
        </w:trPr>
        <w:tc>
          <w:tcPr>
            <w:tcW w:type="dxa" w:w="2300"/>
            <w:tcMar>
              <w:top w:w="80" w:type="dxa"/>
              <w:start w:w="120" w:type="dxa"/>
              <w:bottom w:w="80" w:type="dxa"/>
              <w:end w:w="120" w:type="dxa"/>
            </w:tcMar>
            <w:vAlign w:val="center"/>
          </w:tcPr>
          <w:p>
            <w:pPr>
              <w:pStyle w:val="TableText"/>
            </w:pPr>
            <w:r>
              <w:rPr>
                <w:rFonts w:ascii="Calibri" w:hAnsi="Calibri"/>
                <w:sz w:val="19"/>
              </w:rPr>
              <w:t>Supporting source/signal/pattern</w:t>
            </w:r>
          </w:p>
        </w:tc>
        <w:tc>
          <w:tcPr>
            <w:tcW w:type="dxa" w:w="7060"/>
            <w:tcMar>
              <w:top w:w="80" w:type="dxa"/>
              <w:start w:w="120" w:type="dxa"/>
              <w:bottom w:w="80" w:type="dxa"/>
              <w:end w:w="120" w:type="dxa"/>
            </w:tcMar>
            <w:vAlign w:val="center"/>
          </w:tcPr>
          <w:p>
            <w:pPr>
              <w:pStyle w:val="TableText"/>
            </w:pPr>
            <w:r>
              <w:rPr>
                <w:rFonts w:ascii="Calibri" w:hAnsi="Calibri"/>
                <w:sz w:val="19"/>
              </w:rPr>
              <w:t>Retained only when referenced by a durable opportunity. Orphan records are removed during terminal cleanup or permanent deletion.</w:t>
            </w:r>
          </w:p>
        </w:tc>
      </w:tr>
      <w:tr>
        <w:trPr>
          <w:cantSplit w:val="true"/>
        </w:trPr>
        <w:tc>
          <w:tcPr>
            <w:tcW w:type="dxa" w:w="2300"/>
            <w:tcMar>
              <w:top w:w="80" w:type="dxa"/>
              <w:start w:w="120" w:type="dxa"/>
              <w:bottom w:w="80" w:type="dxa"/>
              <w:end w:w="120" w:type="dxa"/>
            </w:tcMar>
            <w:vAlign w:val="center"/>
          </w:tcPr>
          <w:p>
            <w:pPr>
              <w:pStyle w:val="TableText"/>
            </w:pPr>
            <w:r>
              <w:rPr>
                <w:rFonts w:ascii="Calibri" w:hAnsi="Calibri"/>
                <w:sz w:val="19"/>
              </w:rPr>
              <w:t>Run summary</w:t>
            </w:r>
          </w:p>
        </w:tc>
        <w:tc>
          <w:tcPr>
            <w:tcW w:type="dxa" w:w="7060"/>
            <w:tcMar>
              <w:top w:w="80" w:type="dxa"/>
              <w:start w:w="120" w:type="dxa"/>
              <w:bottom w:w="80" w:type="dxa"/>
              <w:end w:w="120" w:type="dxa"/>
            </w:tcMar>
            <w:vAlign w:val="center"/>
          </w:tcPr>
          <w:p>
            <w:pPr>
              <w:pStyle w:val="TableText"/>
            </w:pPr>
            <w:r>
              <w:rPr>
                <w:rFonts w:ascii="Calibri" w:hAnsi="Calibri"/>
                <w:sz w:val="19"/>
              </w:rPr>
              <w:t>Retained only when needed to support a committed opportunity's provenance. Failed or empty runs do not remain as normal product records.</w:t>
            </w:r>
          </w:p>
        </w:tc>
      </w:tr>
      <w:tr>
        <w:trPr>
          <w:cantSplit w:val="true"/>
        </w:trPr>
        <w:tc>
          <w:tcPr>
            <w:tcW w:type="dxa" w:w="2300"/>
            <w:tcMar>
              <w:top w:w="80" w:type="dxa"/>
              <w:start w:w="120" w:type="dxa"/>
              <w:bottom w:w="80" w:type="dxa"/>
              <w:end w:w="120" w:type="dxa"/>
            </w:tcMar>
            <w:vAlign w:val="center"/>
          </w:tcPr>
          <w:p>
            <w:pPr>
              <w:pStyle w:val="TableText"/>
            </w:pPr>
            <w:r>
              <w:rPr>
                <w:rFonts w:ascii="Calibri" w:hAnsi="Calibri"/>
                <w:sz w:val="19"/>
              </w:rPr>
              <w:t>Redis run data</w:t>
            </w:r>
          </w:p>
        </w:tc>
        <w:tc>
          <w:tcPr>
            <w:tcW w:type="dxa" w:w="7060"/>
            <w:tcMar>
              <w:top w:w="80" w:type="dxa"/>
              <w:start w:w="120" w:type="dxa"/>
              <w:bottom w:w="80" w:type="dxa"/>
              <w:end w:w="120" w:type="dxa"/>
            </w:tcMar>
            <w:vAlign w:val="center"/>
          </w:tcPr>
          <w:p>
            <w:pPr>
              <w:pStyle w:val="TableText"/>
            </w:pPr>
            <w:r>
              <w:rPr>
                <w:rFonts w:ascii="Calibri" w:hAnsi="Calibri"/>
                <w:sz w:val="19"/>
              </w:rPr>
              <w:t>Bounded recent progress and cancellation/control data only. Active expiration is refreshed; terminal data expires automatically.</w:t>
            </w:r>
          </w:p>
        </w:tc>
      </w:tr>
      <w:tr>
        <w:trPr>
          <w:cantSplit w:val="true"/>
        </w:trPr>
        <w:tc>
          <w:tcPr>
            <w:tcW w:type="dxa" w:w="2300"/>
            <w:tcMar>
              <w:top w:w="80" w:type="dxa"/>
              <w:start w:w="120" w:type="dxa"/>
              <w:bottom w:w="80" w:type="dxa"/>
              <w:end w:w="120" w:type="dxa"/>
            </w:tcMar>
            <w:vAlign w:val="center"/>
          </w:tcPr>
          <w:p>
            <w:pPr>
              <w:pStyle w:val="TableText"/>
            </w:pPr>
            <w:r>
              <w:rPr>
                <w:rFonts w:ascii="Calibri" w:hAnsi="Calibri"/>
                <w:sz w:val="19"/>
              </w:rPr>
              <w:t>Normal diagnostics</w:t>
            </w:r>
          </w:p>
        </w:tc>
        <w:tc>
          <w:tcPr>
            <w:tcW w:type="dxa" w:w="7060"/>
            <w:tcMar>
              <w:top w:w="80" w:type="dxa"/>
              <w:start w:w="120" w:type="dxa"/>
              <w:bottom w:w="80" w:type="dxa"/>
              <w:end w:w="120" w:type="dxa"/>
            </w:tcMar>
            <w:vAlign w:val="center"/>
          </w:tcPr>
          <w:p>
            <w:pPr>
              <w:pStyle w:val="TableText"/>
            </w:pPr>
            <w:r>
              <w:rPr>
                <w:rFonts w:ascii="Calibri" w:hAnsi="Calibri"/>
                <w:sz w:val="19"/>
              </w:rPr>
              <w:t>Redacted rotating local logs with size/count bounds. Failed runs are represented only by logs when they have no committed opportunity.</w:t>
            </w:r>
          </w:p>
        </w:tc>
      </w:tr>
      <w:tr>
        <w:trPr>
          <w:cantSplit w:val="true"/>
        </w:trPr>
        <w:tc>
          <w:tcPr>
            <w:tcW w:type="dxa" w:w="2300"/>
            <w:tcMar>
              <w:top w:w="80" w:type="dxa"/>
              <w:start w:w="120" w:type="dxa"/>
              <w:bottom w:w="80" w:type="dxa"/>
              <w:end w:w="120" w:type="dxa"/>
            </w:tcMar>
            <w:vAlign w:val="center"/>
          </w:tcPr>
          <w:p>
            <w:pPr>
              <w:pStyle w:val="TableText"/>
            </w:pPr>
            <w:r>
              <w:rPr>
                <w:rFonts w:ascii="Calibri" w:hAnsi="Calibri"/>
                <w:sz w:val="19"/>
              </w:rPr>
              <w:t>Processing data</w:t>
            </w:r>
          </w:p>
        </w:tc>
        <w:tc>
          <w:tcPr>
            <w:tcW w:type="dxa" w:w="7060"/>
            <w:tcMar>
              <w:top w:w="80" w:type="dxa"/>
              <w:start w:w="120" w:type="dxa"/>
              <w:bottom w:w="80" w:type="dxa"/>
              <w:end w:w="120" w:type="dxa"/>
            </w:tcMar>
            <w:vAlign w:val="center"/>
          </w:tcPr>
          <w:p>
            <w:pPr>
              <w:pStyle w:val="TableText"/>
            </w:pPr>
            <w:r>
              <w:rPr>
                <w:rFonts w:ascii="Calibri" w:hAnsi="Calibri"/>
                <w:sz w:val="19"/>
              </w:rPr>
              <w:t>Search payloads, pages, extracted text, prompts, raw model responses, retries, weak clusters, rejected concepts, and incomplete candidates are deleted when no longer needed and always at terminal cleanup.</w:t>
            </w:r>
          </w:p>
        </w:tc>
      </w:tr>
    </w:tbl>
    <w:p>
      <w:pPr>
        <w:spacing w:after="0" w:line="120" w:lineRule="auto"/>
      </w:pPr>
    </w:p>
    <w:p>
      <w:r>
        <w:rPr>
          <w:rFonts w:ascii="Calibri" w:hAnsi="Calibri"/>
        </w:rPr>
        <w:t>There is no prototype backup, restore, export, or import UI. PostgreSQL is the durable source of truth, and installation documentation may describe a manual database backup procedure while the application is stopped.</w:t>
      </w:r>
    </w:p>
    <w:p>
      <w:pPr>
        <w:pStyle w:val="Heading1"/>
        <w:keepNext/>
      </w:pPr>
      <w:r>
        <w:t>14. Security and trust boundaries</w:t>
      </w:r>
    </w:p>
    <w:p>
      <w:pPr>
        <w:numPr>
          <w:ilvl w:val="0"/>
          <w:numId w:val="10"/>
        </w:numPr>
        <w:spacing w:after="160" w:line="280" w:lineRule="auto"/>
      </w:pPr>
      <w:r>
        <w:rPr>
          <w:rFonts w:ascii="Calibri" w:hAnsi="Calibri"/>
        </w:rPr>
        <w:t>The application API and both llama.cpp endpoints bind to IPv4 loopback on the native Fedora 44 host. The same-host operator browser reaches only the FastAPI origin through IPv4 loopback; model endpoints and SearXNG are not browser-facing or public.</w:t>
      </w:r>
    </w:p>
    <w:p>
      <w:pPr>
        <w:numPr>
          <w:ilvl w:val="0"/>
          <w:numId w:val="10"/>
        </w:numPr>
        <w:spacing w:after="160" w:line="280" w:lineRule="auto"/>
      </w:pPr>
      <w:r>
        <w:rPr>
          <w:rFonts w:ascii="Calibri" w:hAnsi="Calibri"/>
        </w:rPr>
        <w:t>Source retrieval, SearXNG, llama.cpp, PostgreSQL, and Redis use separate clients and explicit endpoint configuration. Launcher executable paths, model paths, and argument lists are protected installation values; no shell command is built from browser or model input. Search results cannot select service endpoints.</w:t>
      </w:r>
    </w:p>
    <w:p>
      <w:pPr>
        <w:numPr>
          <w:ilvl w:val="0"/>
          <w:numId w:val="10"/>
        </w:numPr>
        <w:spacing w:after="160" w:line="280" w:lineRule="auto"/>
      </w:pPr>
      <w:r>
        <w:rPr>
          <w:rFonts w:ascii="Calibri" w:hAnsi="Calibri"/>
        </w:rPr>
        <w:t>All operator input, configuration values, model output, SearXNG output, URLs, headers, excerpts, and database identifiers are validated before use.</w:t>
      </w:r>
    </w:p>
    <w:p>
      <w:pPr>
        <w:numPr>
          <w:ilvl w:val="0"/>
          <w:numId w:val="10"/>
        </w:numPr>
        <w:spacing w:after="160" w:line="280" w:lineRule="auto"/>
      </w:pPr>
      <w:r>
        <w:rPr>
          <w:rFonts w:ascii="Calibri" w:hAnsi="Calibri"/>
        </w:rPr>
        <w:t>Retrieved content is untrusted and cannot modify prompts outside its data block, graph routing, model choice, endpoints, permissions, limits, settings, or lifecycle actions.</w:t>
      </w:r>
    </w:p>
    <w:p>
      <w:pPr>
        <w:numPr>
          <w:ilvl w:val="0"/>
          <w:numId w:val="10"/>
        </w:numPr>
        <w:spacing w:after="160" w:line="280" w:lineRule="auto"/>
      </w:pPr>
      <w:r>
        <w:rPr>
          <w:rFonts w:ascii="Calibri" w:hAnsi="Calibri"/>
        </w:rPr>
        <w:t>Logs redact source payloads, credentials embedded in URLs, local paths when unnecessary, and model content that could contain sensitive or copyrighted material.</w:t>
      </w:r>
    </w:p>
    <w:p>
      <w:pPr>
        <w:numPr>
          <w:ilvl w:val="0"/>
          <w:numId w:val="10"/>
        </w:numPr>
        <w:spacing w:after="160" w:line="280" w:lineRule="auto"/>
      </w:pPr>
      <w:r>
        <w:rPr>
          <w:rFonts w:ascii="Calibri" w:hAnsi="Calibri"/>
        </w:rPr>
        <w:t>The prototype stores no paid-provider API secrets. Local database and service credentials, if used, are installation values and are never displayed in reports or logs.</w:t>
      </w:r>
    </w:p>
    <w:p>
      <w:pPr>
        <w:numPr>
          <w:ilvl w:val="0"/>
          <w:numId w:val="10"/>
        </w:numPr>
        <w:spacing w:after="160" w:line="280" w:lineRule="auto"/>
      </w:pPr>
      <w:r>
        <w:rPr>
          <w:rFonts w:ascii="Calibri" w:hAnsi="Calibri"/>
        </w:rPr>
        <w:t>Only the operator can confirm destructive deletion, semantic rediscovery, update, merge, and merge reversal through the local UI.</w:t>
      </w:r>
    </w:p>
    <w:p>
      <w:pPr>
        <w:pStyle w:val="Heading1"/>
        <w:keepNext/>
      </w:pPr>
      <w:r>
        <w:t>15. Functional requirements</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050"/>
        <w:gridCol w:w="2300"/>
        <w:gridCol w:w="6010"/>
      </w:tblGrid>
      <w:tr>
        <w:trPr>
          <w:tblHeader w:val="true"/>
          <w:cantSplit w:val="true"/>
        </w:trPr>
        <w:tc>
          <w:tcPr>
            <w:tcW w:type="dxa" w:w="1050"/>
            <w:tcMar>
              <w:top w:w="80" w:type="dxa"/>
              <w:start w:w="120" w:type="dxa"/>
              <w:bottom w:w="80" w:type="dxa"/>
              <w:end w:w="120" w:type="dxa"/>
            </w:tcMar>
            <w:vAlign w:val="center"/>
            <w:shd w:fill="F2F4F7"/>
          </w:tcPr>
          <w:p>
            <w:pPr>
              <w:pStyle w:val="TableText"/>
              <w:keepNext/>
            </w:pPr>
            <w:r>
              <w:rPr>
                <w:rFonts w:ascii="Calibri" w:hAnsi="Calibri"/>
                <w:b/>
                <w:color w:val="0B2545"/>
                <w:sz w:val="19"/>
              </w:rPr>
              <w:t>ID</w:t>
            </w:r>
          </w:p>
        </w:tc>
        <w:tc>
          <w:tcPr>
            <w:tcW w:type="dxa" w:w="2300"/>
            <w:tcMar>
              <w:top w:w="80" w:type="dxa"/>
              <w:start w:w="120" w:type="dxa"/>
              <w:bottom w:w="80" w:type="dxa"/>
              <w:end w:w="120" w:type="dxa"/>
            </w:tcMar>
            <w:vAlign w:val="center"/>
            <w:shd w:fill="F2F4F7"/>
          </w:tcPr>
          <w:p>
            <w:pPr>
              <w:pStyle w:val="TableText"/>
              <w:keepNext/>
            </w:pPr>
            <w:r>
              <w:rPr>
                <w:rFonts w:ascii="Calibri" w:hAnsi="Calibri"/>
                <w:b/>
                <w:color w:val="0B2545"/>
                <w:sz w:val="19"/>
              </w:rPr>
              <w:t>Capability</w:t>
            </w:r>
          </w:p>
        </w:tc>
        <w:tc>
          <w:tcPr>
            <w:tcW w:type="dxa" w:w="6010"/>
            <w:tcMar>
              <w:top w:w="80" w:type="dxa"/>
              <w:start w:w="120" w:type="dxa"/>
              <w:bottom w:w="80" w:type="dxa"/>
              <w:end w:w="120" w:type="dxa"/>
            </w:tcMar>
            <w:vAlign w:val="center"/>
            <w:shd w:fill="F2F4F7"/>
          </w:tcPr>
          <w:p>
            <w:pPr>
              <w:pStyle w:val="TableText"/>
              <w:keepNext/>
            </w:pPr>
            <w:r>
              <w:rPr>
                <w:rFonts w:ascii="Calibri" w:hAnsi="Calibri"/>
                <w:b/>
                <w:color w:val="0B2545"/>
                <w:sz w:val="19"/>
              </w:rPr>
              <w:t>Requirement</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FR-001</w:t>
            </w:r>
          </w:p>
        </w:tc>
        <w:tc>
          <w:tcPr>
            <w:tcW w:type="dxa" w:w="2300"/>
            <w:tcMar>
              <w:top w:w="80" w:type="dxa"/>
              <w:start w:w="120" w:type="dxa"/>
              <w:bottom w:w="80" w:type="dxa"/>
              <w:end w:w="120" w:type="dxa"/>
            </w:tcMar>
            <w:vAlign w:val="center"/>
          </w:tcPr>
          <w:p>
            <w:pPr>
              <w:pStyle w:val="TableText"/>
            </w:pPr>
            <w:r>
              <w:rPr>
                <w:rFonts w:ascii="Calibri" w:hAnsi="Calibri"/>
                <w:sz w:val="19"/>
              </w:rPr>
              <w:t>Preflight and start</w:t>
            </w:r>
          </w:p>
        </w:tc>
        <w:tc>
          <w:tcPr>
            <w:tcW w:type="dxa" w:w="6010"/>
            <w:tcMar>
              <w:top w:w="80" w:type="dxa"/>
              <w:start w:w="120" w:type="dxa"/>
              <w:bottom w:w="80" w:type="dxa"/>
              <w:end w:w="120" w:type="dxa"/>
            </w:tcMar>
            <w:vAlign w:val="center"/>
          </w:tcPr>
          <w:p>
            <w:pPr>
              <w:pStyle w:val="TableText"/>
            </w:pPr>
            <w:r>
              <w:rPr>
                <w:rFonts w:ascii="Calibri" w:hAnsi="Calibri"/>
                <w:sz w:val="19"/>
              </w:rPr>
              <w:t>Validate all required local services, saved settings, ranges, model capabilities, and database extensions before creating a run.</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FR-002</w:t>
            </w:r>
          </w:p>
        </w:tc>
        <w:tc>
          <w:tcPr>
            <w:tcW w:type="dxa" w:w="2300"/>
            <w:tcMar>
              <w:top w:w="80" w:type="dxa"/>
              <w:start w:w="120" w:type="dxa"/>
              <w:bottom w:w="80" w:type="dxa"/>
              <w:end w:w="120" w:type="dxa"/>
            </w:tcMar>
            <w:vAlign w:val="center"/>
          </w:tcPr>
          <w:p>
            <w:pPr>
              <w:pStyle w:val="TableText"/>
            </w:pPr>
            <w:r>
              <w:rPr>
                <w:rFonts w:ascii="Calibri" w:hAnsi="Calibri"/>
                <w:sz w:val="19"/>
              </w:rPr>
              <w:t>Configuration snapshot</w:t>
            </w:r>
          </w:p>
        </w:tc>
        <w:tc>
          <w:tcPr>
            <w:tcW w:type="dxa" w:w="6010"/>
            <w:tcMar>
              <w:top w:w="80" w:type="dxa"/>
              <w:start w:w="120" w:type="dxa"/>
              <w:bottom w:w="80" w:type="dxa"/>
              <w:end w:w="120" w:type="dxa"/>
            </w:tcMar>
            <w:vAlign w:val="center"/>
          </w:tcPr>
          <w:p>
            <w:pPr>
              <w:pStyle w:val="TableText"/>
            </w:pPr>
            <w:r>
              <w:rPr>
                <w:rFonts w:ascii="Calibri" w:hAnsi="Calibri"/>
                <w:sz w:val="19"/>
              </w:rPr>
              <w:t>Capture an immutable effective configuration and workflow/prompt version for the active run.</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FR-003</w:t>
            </w:r>
          </w:p>
        </w:tc>
        <w:tc>
          <w:tcPr>
            <w:tcW w:type="dxa" w:w="2300"/>
            <w:tcMar>
              <w:top w:w="80" w:type="dxa"/>
              <w:start w:w="120" w:type="dxa"/>
              <w:bottom w:w="80" w:type="dxa"/>
              <w:end w:w="120" w:type="dxa"/>
            </w:tcMar>
            <w:vAlign w:val="center"/>
          </w:tcPr>
          <w:p>
            <w:pPr>
              <w:pStyle w:val="TableText"/>
            </w:pPr>
            <w:r>
              <w:rPr>
                <w:rFonts w:ascii="Calibri" w:hAnsi="Calibri"/>
                <w:sz w:val="19"/>
              </w:rPr>
              <w:t>Discovery planning</w:t>
            </w:r>
          </w:p>
        </w:tc>
        <w:tc>
          <w:tcPr>
            <w:tcW w:type="dxa" w:w="6010"/>
            <w:tcMar>
              <w:top w:w="80" w:type="dxa"/>
              <w:start w:w="120" w:type="dxa"/>
              <w:bottom w:w="80" w:type="dxa"/>
              <w:end w:w="120" w:type="dxa"/>
            </w:tcMar>
            <w:vAlign w:val="center"/>
          </w:tcPr>
          <w:p>
            <w:pPr>
              <w:pStyle w:val="TableText"/>
            </w:pPr>
            <w:r>
              <w:rPr>
                <w:rFonts w:ascii="Calibri" w:hAnsi="Calibri"/>
                <w:sz w:val="19"/>
              </w:rPr>
              <w:t>Generate a bounded discovery query plan focused on recurring problems and inefficient workflows rather than requested technologies.</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FR-004</w:t>
            </w:r>
          </w:p>
        </w:tc>
        <w:tc>
          <w:tcPr>
            <w:tcW w:type="dxa" w:w="2300"/>
            <w:tcMar>
              <w:top w:w="80" w:type="dxa"/>
              <w:start w:w="120" w:type="dxa"/>
              <w:bottom w:w="80" w:type="dxa"/>
              <w:end w:w="120" w:type="dxa"/>
            </w:tcMar>
            <w:vAlign w:val="center"/>
          </w:tcPr>
          <w:p>
            <w:pPr>
              <w:pStyle w:val="TableText"/>
            </w:pPr>
            <w:r>
              <w:rPr>
                <w:rFonts w:ascii="Calibri" w:hAnsi="Calibri"/>
                <w:sz w:val="19"/>
              </w:rPr>
              <w:t>SearXNG search</w:t>
            </w:r>
          </w:p>
        </w:tc>
        <w:tc>
          <w:tcPr>
            <w:tcW w:type="dxa" w:w="6010"/>
            <w:tcMar>
              <w:top w:w="80" w:type="dxa"/>
              <w:start w:w="120" w:type="dxa"/>
              <w:bottom w:w="80" w:type="dxa"/>
              <w:end w:w="120" w:type="dxa"/>
            </w:tcMar>
            <w:vAlign w:val="center"/>
          </w:tcPr>
          <w:p>
            <w:pPr>
              <w:pStyle w:val="TableText"/>
            </w:pPr>
            <w:r>
              <w:rPr>
                <w:rFonts w:ascii="Calibri" w:hAnsi="Calibri"/>
                <w:sz w:val="19"/>
              </w:rPr>
              <w:t>Execute bounded local JSON searches, deduplicate results, and expose partial engine failures as warnings.</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FR-005</w:t>
            </w:r>
          </w:p>
        </w:tc>
        <w:tc>
          <w:tcPr>
            <w:tcW w:type="dxa" w:w="2300"/>
            <w:tcMar>
              <w:top w:w="80" w:type="dxa"/>
              <w:start w:w="120" w:type="dxa"/>
              <w:bottom w:w="80" w:type="dxa"/>
              <w:end w:w="120" w:type="dxa"/>
            </w:tcMar>
            <w:vAlign w:val="center"/>
          </w:tcPr>
          <w:p>
            <w:pPr>
              <w:pStyle w:val="TableText"/>
            </w:pPr>
            <w:r>
              <w:rPr>
                <w:rFonts w:ascii="Calibri" w:hAnsi="Calibri"/>
                <w:sz w:val="19"/>
              </w:rPr>
              <w:t>Safe retrieval</w:t>
            </w:r>
          </w:p>
        </w:tc>
        <w:tc>
          <w:tcPr>
            <w:tcW w:type="dxa" w:w="6010"/>
            <w:tcMar>
              <w:top w:w="80" w:type="dxa"/>
              <w:start w:w="120" w:type="dxa"/>
              <w:bottom w:w="80" w:type="dxa"/>
              <w:end w:w="120" w:type="dxa"/>
            </w:tcMar>
            <w:vAlign w:val="center"/>
          </w:tcPr>
          <w:p>
            <w:pPr>
              <w:pStyle w:val="TableText"/>
            </w:pPr>
            <w:r>
              <w:rPr>
                <w:rFonts w:ascii="Calibri" w:hAnsi="Calibri"/>
                <w:sz w:val="19"/>
              </w:rPr>
              <w:t>Retrieve permitted public pages with network, redirect, size, type, pacing, concurrency, retry, and timeout controls.</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FR-006</w:t>
            </w:r>
          </w:p>
        </w:tc>
        <w:tc>
          <w:tcPr>
            <w:tcW w:type="dxa" w:w="2300"/>
            <w:tcMar>
              <w:top w:w="80" w:type="dxa"/>
              <w:start w:w="120" w:type="dxa"/>
              <w:bottom w:w="80" w:type="dxa"/>
              <w:end w:w="120" w:type="dxa"/>
            </w:tcMar>
            <w:vAlign w:val="center"/>
          </w:tcPr>
          <w:p>
            <w:pPr>
              <w:pStyle w:val="TableText"/>
            </w:pPr>
            <w:r>
              <w:rPr>
                <w:rFonts w:ascii="Calibri" w:hAnsi="Calibri"/>
                <w:sz w:val="19"/>
              </w:rPr>
              <w:t>Problem signals</w:t>
            </w:r>
          </w:p>
        </w:tc>
        <w:tc>
          <w:tcPr>
            <w:tcW w:type="dxa" w:w="6010"/>
            <w:tcMar>
              <w:top w:w="80" w:type="dxa"/>
              <w:start w:w="120" w:type="dxa"/>
              <w:bottom w:w="80" w:type="dxa"/>
              <w:end w:w="120" w:type="dxa"/>
            </w:tcMar>
            <w:vAlign w:val="center"/>
          </w:tcPr>
          <w:p>
            <w:pPr>
              <w:pStyle w:val="TableText"/>
            </w:pPr>
            <w:r>
              <w:rPr>
                <w:rFonts w:ascii="Calibri" w:hAnsi="Calibri"/>
                <w:sz w:val="19"/>
              </w:rPr>
              <w:t>Extract schema-valid evidence-linked roles, workflows, workarounds, consequences, and confidence.</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FR-007</w:t>
            </w:r>
          </w:p>
        </w:tc>
        <w:tc>
          <w:tcPr>
            <w:tcW w:type="dxa" w:w="2300"/>
            <w:tcMar>
              <w:top w:w="80" w:type="dxa"/>
              <w:start w:w="120" w:type="dxa"/>
              <w:bottom w:w="80" w:type="dxa"/>
              <w:end w:w="120" w:type="dxa"/>
            </w:tcMar>
            <w:vAlign w:val="center"/>
          </w:tcPr>
          <w:p>
            <w:pPr>
              <w:pStyle w:val="TableText"/>
            </w:pPr>
            <w:r>
              <w:rPr>
                <w:rFonts w:ascii="Calibri" w:hAnsi="Calibri"/>
                <w:sz w:val="19"/>
              </w:rPr>
              <w:t>Problem patterns</w:t>
            </w:r>
          </w:p>
        </w:tc>
        <w:tc>
          <w:tcPr>
            <w:tcW w:type="dxa" w:w="6010"/>
            <w:tcMar>
              <w:top w:w="80" w:type="dxa"/>
              <w:start w:w="120" w:type="dxa"/>
              <w:bottom w:w="80" w:type="dxa"/>
              <w:end w:w="120" w:type="dxa"/>
            </w:tcMar>
            <w:vAlign w:val="center"/>
          </w:tcPr>
          <w:p>
            <w:pPr>
              <w:pStyle w:val="TableText"/>
            </w:pPr>
            <w:r>
              <w:rPr>
                <w:rFonts w:ascii="Calibri" w:hAnsi="Calibri"/>
                <w:sz w:val="19"/>
              </w:rPr>
              <w:t>Fingerprint and cluster related signals into cross-industry patterns using deterministic normalization and exact pgvector similarity.</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FR-008</w:t>
            </w:r>
          </w:p>
        </w:tc>
        <w:tc>
          <w:tcPr>
            <w:tcW w:type="dxa" w:w="2300"/>
            <w:tcMar>
              <w:top w:w="80" w:type="dxa"/>
              <w:start w:w="120" w:type="dxa"/>
              <w:bottom w:w="80" w:type="dxa"/>
              <w:end w:w="120" w:type="dxa"/>
            </w:tcMar>
            <w:vAlign w:val="center"/>
          </w:tcPr>
          <w:p>
            <w:pPr>
              <w:pStyle w:val="TableText"/>
            </w:pPr>
            <w:r>
              <w:rPr>
                <w:rFonts w:ascii="Calibri" w:hAnsi="Calibri"/>
                <w:sz w:val="19"/>
              </w:rPr>
              <w:t>Segment mapping and gate</w:t>
            </w:r>
          </w:p>
        </w:tc>
        <w:tc>
          <w:tcPr>
            <w:tcW w:type="dxa" w:w="6010"/>
            <w:tcMar>
              <w:top w:w="80" w:type="dxa"/>
              <w:start w:w="120" w:type="dxa"/>
              <w:bottom w:w="80" w:type="dxa"/>
              <w:end w:w="120" w:type="dxa"/>
            </w:tcMar>
            <w:vAlign w:val="center"/>
          </w:tcPr>
          <w:p>
            <w:pPr>
              <w:pStyle w:val="TableText"/>
            </w:pPr>
            <w:r>
              <w:rPr>
                <w:rFonts w:ascii="Calibri" w:hAnsi="Calibri"/>
                <w:sz w:val="19"/>
              </w:rPr>
              <w:t>Map segments/users/buyers and discard combinations that fail the preliminary evidence gate.</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FR-009</w:t>
            </w:r>
          </w:p>
        </w:tc>
        <w:tc>
          <w:tcPr>
            <w:tcW w:type="dxa" w:w="2300"/>
            <w:tcMar>
              <w:top w:w="80" w:type="dxa"/>
              <w:start w:w="120" w:type="dxa"/>
              <w:bottom w:w="80" w:type="dxa"/>
              <w:end w:w="120" w:type="dxa"/>
            </w:tcMar>
            <w:vAlign w:val="center"/>
          </w:tcPr>
          <w:p>
            <w:pPr>
              <w:pStyle w:val="TableText"/>
            </w:pPr>
            <w:r>
              <w:rPr>
                <w:rFonts w:ascii="Calibri" w:hAnsi="Calibri"/>
                <w:sz w:val="19"/>
              </w:rPr>
              <w:t>Solution hypothesis</w:t>
            </w:r>
          </w:p>
        </w:tc>
        <w:tc>
          <w:tcPr>
            <w:tcW w:type="dxa" w:w="6010"/>
            <w:tcMar>
              <w:top w:w="80" w:type="dxa"/>
              <w:start w:w="120" w:type="dxa"/>
              <w:bottom w:w="80" w:type="dxa"/>
              <w:end w:w="120" w:type="dxa"/>
            </w:tcMar>
            <w:vAlign w:val="center"/>
          </w:tcPr>
          <w:p>
            <w:pPr>
              <w:pStyle w:val="TableText"/>
            </w:pPr>
            <w:r>
              <w:rPr>
                <w:rFonts w:ascii="Calibri" w:hAnsi="Calibri"/>
                <w:sz w:val="19"/>
              </w:rPr>
              <w:t>Generate an appropriate minimal delivery model only after the problem-and-segment gate passes.</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FR-010</w:t>
            </w:r>
          </w:p>
        </w:tc>
        <w:tc>
          <w:tcPr>
            <w:tcW w:type="dxa" w:w="2300"/>
            <w:tcMar>
              <w:top w:w="80" w:type="dxa"/>
              <w:start w:w="120" w:type="dxa"/>
              <w:bottom w:w="80" w:type="dxa"/>
              <w:end w:w="120" w:type="dxa"/>
            </w:tcMar>
            <w:vAlign w:val="center"/>
          </w:tcPr>
          <w:p>
            <w:pPr>
              <w:pStyle w:val="TableText"/>
            </w:pPr>
            <w:r>
              <w:rPr>
                <w:rFonts w:ascii="Calibri" w:hAnsi="Calibri"/>
                <w:sz w:val="19"/>
              </w:rPr>
              <w:t>Focused validation</w:t>
            </w:r>
          </w:p>
        </w:tc>
        <w:tc>
          <w:tcPr>
            <w:tcW w:type="dxa" w:w="6010"/>
            <w:tcMar>
              <w:top w:w="80" w:type="dxa"/>
              <w:start w:w="120" w:type="dxa"/>
              <w:bottom w:w="80" w:type="dxa"/>
              <w:end w:w="120" w:type="dxa"/>
            </w:tcMar>
            <w:vAlign w:val="center"/>
          </w:tcPr>
          <w:p>
            <w:pPr>
              <w:pStyle w:val="TableText"/>
            </w:pPr>
            <w:r>
              <w:rPr>
                <w:rFonts w:ascii="Calibri" w:hAnsi="Calibri"/>
                <w:sz w:val="19"/>
              </w:rPr>
              <w:t>Research demand, spend, alternatives, competition, missing capabilities, reachability, trust, regulation, and delivery burden.</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FR-011</w:t>
            </w:r>
          </w:p>
        </w:tc>
        <w:tc>
          <w:tcPr>
            <w:tcW w:type="dxa" w:w="2300"/>
            <w:tcMar>
              <w:top w:w="80" w:type="dxa"/>
              <w:start w:w="120" w:type="dxa"/>
              <w:bottom w:w="80" w:type="dxa"/>
              <w:end w:w="120" w:type="dxa"/>
            </w:tcMar>
            <w:vAlign w:val="center"/>
          </w:tcPr>
          <w:p>
            <w:pPr>
              <w:pStyle w:val="TableText"/>
            </w:pPr>
            <w:r>
              <w:rPr>
                <w:rFonts w:ascii="Calibri" w:hAnsi="Calibri"/>
                <w:sz w:val="19"/>
              </w:rPr>
              <w:t>Report and critique</w:t>
            </w:r>
          </w:p>
        </w:tc>
        <w:tc>
          <w:tcPr>
            <w:tcW w:type="dxa" w:w="6010"/>
            <w:tcMar>
              <w:top w:w="80" w:type="dxa"/>
              <w:start w:w="120" w:type="dxa"/>
              <w:bottom w:w="80" w:type="dxa"/>
              <w:end w:w="120" w:type="dxa"/>
            </w:tcMar>
            <w:vAlign w:val="center"/>
          </w:tcPr>
          <w:p>
            <w:pPr>
              <w:pStyle w:val="TableText"/>
            </w:pPr>
            <w:r>
              <w:rPr>
                <w:rFonts w:ascii="Calibri" w:hAnsi="Calibri"/>
                <w:sz w:val="19"/>
              </w:rPr>
              <w:t>Produce the complete structured opportunity report, negative case, unknowns, and next research questions.</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FR-012</w:t>
            </w:r>
          </w:p>
        </w:tc>
        <w:tc>
          <w:tcPr>
            <w:tcW w:type="dxa" w:w="2300"/>
            <w:tcMar>
              <w:top w:w="80" w:type="dxa"/>
              <w:start w:w="120" w:type="dxa"/>
              <w:bottom w:w="80" w:type="dxa"/>
              <w:end w:w="120" w:type="dxa"/>
            </w:tcMar>
            <w:vAlign w:val="center"/>
          </w:tcPr>
          <w:p>
            <w:pPr>
              <w:pStyle w:val="TableText"/>
            </w:pPr>
            <w:r>
              <w:rPr>
                <w:rFonts w:ascii="Calibri" w:hAnsi="Calibri"/>
                <w:sz w:val="19"/>
              </w:rPr>
              <w:t>Scoring and verdict</w:t>
            </w:r>
          </w:p>
        </w:tc>
        <w:tc>
          <w:tcPr>
            <w:tcW w:type="dxa" w:w="6010"/>
            <w:tcMar>
              <w:top w:w="80" w:type="dxa"/>
              <w:start w:w="120" w:type="dxa"/>
              <w:bottom w:w="80" w:type="dxa"/>
              <w:end w:w="120" w:type="dxa"/>
            </w:tcMar>
            <w:vAlign w:val="center"/>
          </w:tcPr>
          <w:p>
            <w:pPr>
              <w:pStyle w:val="TableText"/>
            </w:pPr>
            <w:r>
              <w:rPr>
                <w:rFonts w:ascii="Calibri" w:hAnsi="Calibri"/>
                <w:sz w:val="19"/>
              </w:rPr>
              <w:t>Validate four 1-5 sub-scores, calculate fixed weighted total, enforce evidence/blocker rules, and assign one verdict.</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FR-013</w:t>
            </w:r>
          </w:p>
        </w:tc>
        <w:tc>
          <w:tcPr>
            <w:tcW w:type="dxa" w:w="2300"/>
            <w:tcMar>
              <w:top w:w="80" w:type="dxa"/>
              <w:start w:w="120" w:type="dxa"/>
              <w:bottom w:w="80" w:type="dxa"/>
              <w:end w:w="120" w:type="dxa"/>
            </w:tcMar>
            <w:vAlign w:val="center"/>
          </w:tcPr>
          <w:p>
            <w:pPr>
              <w:pStyle w:val="TableText"/>
            </w:pPr>
            <w:r>
              <w:rPr>
                <w:rFonts w:ascii="Calibri" w:hAnsi="Calibri"/>
                <w:sz w:val="19"/>
              </w:rPr>
              <w:t>Similarity</w:t>
            </w:r>
          </w:p>
        </w:tc>
        <w:tc>
          <w:tcPr>
            <w:tcW w:type="dxa" w:w="6010"/>
            <w:tcMar>
              <w:top w:w="80" w:type="dxa"/>
              <w:start w:w="120" w:type="dxa"/>
              <w:bottom w:w="80" w:type="dxa"/>
              <w:end w:w="120" w:type="dxa"/>
            </w:tcMar>
            <w:vAlign w:val="center"/>
          </w:tcPr>
          <w:p>
            <w:pPr>
              <w:pStyle w:val="TableText"/>
            </w:pPr>
            <w:r>
              <w:rPr>
                <w:rFonts w:ascii="Calibri" w:hAnsi="Calibri"/>
                <w:sz w:val="19"/>
              </w:rPr>
              <w:t>Create fixed-model embeddings, fingerprints, top-three Related links, and initial lifecycle classification.</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FR-014</w:t>
            </w:r>
          </w:p>
        </w:tc>
        <w:tc>
          <w:tcPr>
            <w:tcW w:type="dxa" w:w="2300"/>
            <w:tcMar>
              <w:top w:w="80" w:type="dxa"/>
              <w:start w:w="120" w:type="dxa"/>
              <w:bottom w:w="80" w:type="dxa"/>
              <w:end w:w="120" w:type="dxa"/>
            </w:tcMar>
            <w:vAlign w:val="center"/>
          </w:tcPr>
          <w:p>
            <w:pPr>
              <w:pStyle w:val="TableText"/>
            </w:pPr>
            <w:r>
              <w:rPr>
                <w:rFonts w:ascii="Calibri" w:hAnsi="Calibri"/>
                <w:sz w:val="19"/>
              </w:rPr>
              <w:t>Transactional commit</w:t>
            </w:r>
          </w:p>
        </w:tc>
        <w:tc>
          <w:tcPr>
            <w:tcW w:type="dxa" w:w="6010"/>
            <w:tcMar>
              <w:top w:w="80" w:type="dxa"/>
              <w:start w:w="120" w:type="dxa"/>
              <w:bottom w:w="80" w:type="dxa"/>
              <w:end w:w="120" w:type="dxa"/>
            </w:tcMar>
            <w:vAlign w:val="center"/>
          </w:tcPr>
          <w:p>
            <w:pPr>
              <w:pStyle w:val="TableText"/>
            </w:pPr>
            <w:r>
              <w:rPr>
                <w:rFonts w:ascii="Calibri" w:hAnsi="Calibri"/>
                <w:sz w:val="19"/>
              </w:rPr>
              <w:t>Commit each complete opportunity version and its minimum supporting research atomically; never persist an incomplete business record.</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FR-015</w:t>
            </w:r>
          </w:p>
        </w:tc>
        <w:tc>
          <w:tcPr>
            <w:tcW w:type="dxa" w:w="2300"/>
            <w:tcMar>
              <w:top w:w="80" w:type="dxa"/>
              <w:start w:w="120" w:type="dxa"/>
              <w:bottom w:w="80" w:type="dxa"/>
              <w:end w:w="120" w:type="dxa"/>
            </w:tcMar>
            <w:vAlign w:val="center"/>
          </w:tcPr>
          <w:p>
            <w:pPr>
              <w:pStyle w:val="TableText"/>
            </w:pPr>
            <w:r>
              <w:rPr>
                <w:rFonts w:ascii="Calibri" w:hAnsi="Calibri"/>
                <w:sz w:val="19"/>
              </w:rPr>
              <w:t>Progress and reconnect</w:t>
            </w:r>
          </w:p>
        </w:tc>
        <w:tc>
          <w:tcPr>
            <w:tcW w:type="dxa" w:w="6010"/>
            <w:tcMar>
              <w:top w:w="80" w:type="dxa"/>
              <w:start w:w="120" w:type="dxa"/>
              <w:bottom w:w="80" w:type="dxa"/>
              <w:end w:w="120" w:type="dxa"/>
            </w:tcMar>
            <w:vAlign w:val="center"/>
          </w:tcPr>
          <w:p>
            <w:pPr>
              <w:pStyle w:val="TableText"/>
            </w:pPr>
            <w:r>
              <w:rPr>
                <w:rFonts w:ascii="Calibri" w:hAnsi="Calibri"/>
                <w:sz w:val="19"/>
              </w:rPr>
              <w:t>Publish bounded Redis progress events and allow browser refresh/close/reopen to reconnect to the backend-owned active run.</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FR-016</w:t>
            </w:r>
          </w:p>
        </w:tc>
        <w:tc>
          <w:tcPr>
            <w:tcW w:type="dxa" w:w="2300"/>
            <w:tcMar>
              <w:top w:w="80" w:type="dxa"/>
              <w:start w:w="120" w:type="dxa"/>
              <w:bottom w:w="80" w:type="dxa"/>
              <w:end w:w="120" w:type="dxa"/>
            </w:tcMar>
            <w:vAlign w:val="center"/>
          </w:tcPr>
          <w:p>
            <w:pPr>
              <w:pStyle w:val="TableText"/>
            </w:pPr>
            <w:r>
              <w:rPr>
                <w:rFonts w:ascii="Calibri" w:hAnsi="Calibri"/>
                <w:sz w:val="19"/>
              </w:rPr>
              <w:t>Stop</w:t>
            </w:r>
          </w:p>
        </w:tc>
        <w:tc>
          <w:tcPr>
            <w:tcW w:type="dxa" w:w="6010"/>
            <w:tcMar>
              <w:top w:w="80" w:type="dxa"/>
              <w:start w:w="120" w:type="dxa"/>
              <w:bottom w:w="80" w:type="dxa"/>
              <w:end w:w="120" w:type="dxa"/>
            </w:tcMar>
            <w:vAlign w:val="center"/>
          </w:tcPr>
          <w:p>
            <w:pPr>
              <w:pStyle w:val="TableText"/>
            </w:pPr>
            <w:r>
              <w:rPr>
                <w:rFonts w:ascii="Calibri" w:hAnsi="Calibri"/>
                <w:sz w:val="19"/>
              </w:rPr>
              <w:t>Set cooperative cancellation, prevent new work, wait for active calls to finish or time out, preserve committed opportunities, and delete incomplete work.</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FR-017</w:t>
            </w:r>
          </w:p>
        </w:tc>
        <w:tc>
          <w:tcPr>
            <w:tcW w:type="dxa" w:w="2300"/>
            <w:tcMar>
              <w:top w:w="80" w:type="dxa"/>
              <w:start w:w="120" w:type="dxa"/>
              <w:bottom w:w="80" w:type="dxa"/>
              <w:end w:w="120" w:type="dxa"/>
            </w:tcMar>
            <w:vAlign w:val="center"/>
          </w:tcPr>
          <w:p>
            <w:pPr>
              <w:pStyle w:val="TableText"/>
            </w:pPr>
            <w:r>
              <w:rPr>
                <w:rFonts w:ascii="Calibri" w:hAnsi="Calibri"/>
                <w:sz w:val="19"/>
              </w:rPr>
              <w:t>Portfolio</w:t>
            </w:r>
          </w:p>
        </w:tc>
        <w:tc>
          <w:tcPr>
            <w:tcW w:type="dxa" w:w="6010"/>
            <w:tcMar>
              <w:top w:w="80" w:type="dxa"/>
              <w:start w:w="120" w:type="dxa"/>
              <w:bottom w:w="80" w:type="dxa"/>
              <w:end w:w="120" w:type="dxa"/>
            </w:tcMar>
            <w:vAlign w:val="center"/>
          </w:tcPr>
          <w:p>
            <w:pPr>
              <w:pStyle w:val="TableText"/>
            </w:pPr>
            <w:r>
              <w:rPr>
                <w:rFonts w:ascii="Calibri" w:hAnsi="Calibri"/>
                <w:sz w:val="19"/>
              </w:rPr>
              <w:t>List retained opportunities with industry-only filtering, supported sorting, fixed default order, and detail navigation.</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FR-018</w:t>
            </w:r>
          </w:p>
        </w:tc>
        <w:tc>
          <w:tcPr>
            <w:tcW w:type="dxa" w:w="2300"/>
            <w:tcMar>
              <w:top w:w="80" w:type="dxa"/>
              <w:start w:w="120" w:type="dxa"/>
              <w:bottom w:w="80" w:type="dxa"/>
              <w:end w:w="120" w:type="dxa"/>
            </w:tcMar>
            <w:vAlign w:val="center"/>
          </w:tcPr>
          <w:p>
            <w:pPr>
              <w:pStyle w:val="TableText"/>
            </w:pPr>
            <w:r>
              <w:rPr>
                <w:rFonts w:ascii="Calibri" w:hAnsi="Calibri"/>
                <w:sz w:val="19"/>
              </w:rPr>
              <w:t>Operator metadata</w:t>
            </w:r>
          </w:p>
        </w:tc>
        <w:tc>
          <w:tcPr>
            <w:tcW w:type="dxa" w:w="6010"/>
            <w:tcMar>
              <w:top w:w="80" w:type="dxa"/>
              <w:start w:w="120" w:type="dxa"/>
              <w:bottom w:w="80" w:type="dxa"/>
              <w:end w:w="120" w:type="dxa"/>
            </w:tcMar>
            <w:vAlign w:val="center"/>
          </w:tcPr>
          <w:p>
            <w:pPr>
              <w:pStyle w:val="TableText"/>
            </w:pPr>
            <w:r>
              <w:rPr>
                <w:rFonts w:ascii="Calibri" w:hAnsi="Calibri"/>
                <w:sz w:val="19"/>
              </w:rPr>
              <w:t>Allow one favorite flag and one free-text note per stable opportunity without influencing model behavior.</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FR-019</w:t>
            </w:r>
          </w:p>
        </w:tc>
        <w:tc>
          <w:tcPr>
            <w:tcW w:type="dxa" w:w="2300"/>
            <w:tcMar>
              <w:top w:w="80" w:type="dxa"/>
              <w:start w:w="120" w:type="dxa"/>
              <w:bottom w:w="80" w:type="dxa"/>
              <w:end w:w="120" w:type="dxa"/>
            </w:tcMar>
            <w:vAlign w:val="center"/>
          </w:tcPr>
          <w:p>
            <w:pPr>
              <w:pStyle w:val="TableText"/>
            </w:pPr>
            <w:r>
              <w:rPr>
                <w:rFonts w:ascii="Calibri" w:hAnsi="Calibri"/>
                <w:sz w:val="19"/>
              </w:rPr>
              <w:t>Rediscovery and update</w:t>
            </w:r>
          </w:p>
        </w:tc>
        <w:tc>
          <w:tcPr>
            <w:tcW w:type="dxa" w:w="6010"/>
            <w:tcMar>
              <w:top w:w="80" w:type="dxa"/>
              <w:start w:w="120" w:type="dxa"/>
              <w:bottom w:w="80" w:type="dxa"/>
              <w:end w:w="120" w:type="dxa"/>
            </w:tcMar>
            <w:vAlign w:val="center"/>
          </w:tcPr>
          <w:p>
            <w:pPr>
              <w:pStyle w:val="TableText"/>
            </w:pPr>
            <w:r>
              <w:rPr>
                <w:rFonts w:ascii="Calibri" w:hAnsi="Calibri"/>
                <w:sz w:val="19"/>
              </w:rPr>
              <w:t>Automatically handle exact rediscovery; allow operator confirmation for semantic rediscovery and immutable update versions.</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FR-020</w:t>
            </w:r>
          </w:p>
        </w:tc>
        <w:tc>
          <w:tcPr>
            <w:tcW w:type="dxa" w:w="2300"/>
            <w:tcMar>
              <w:top w:w="80" w:type="dxa"/>
              <w:start w:w="120" w:type="dxa"/>
              <w:bottom w:w="80" w:type="dxa"/>
              <w:end w:w="120" w:type="dxa"/>
            </w:tcMar>
            <w:vAlign w:val="center"/>
          </w:tcPr>
          <w:p>
            <w:pPr>
              <w:pStyle w:val="TableText"/>
            </w:pPr>
            <w:r>
              <w:rPr>
                <w:rFonts w:ascii="Calibri" w:hAnsi="Calibri"/>
                <w:sz w:val="19"/>
              </w:rPr>
              <w:t>Merge</w:t>
            </w:r>
          </w:p>
        </w:tc>
        <w:tc>
          <w:tcPr>
            <w:tcW w:type="dxa" w:w="6010"/>
            <w:tcMar>
              <w:top w:w="80" w:type="dxa"/>
              <w:start w:w="120" w:type="dxa"/>
              <w:bottom w:w="80" w:type="dxa"/>
              <w:end w:w="120" w:type="dxa"/>
            </w:tcMar>
            <w:vAlign w:val="center"/>
          </w:tcPr>
          <w:p>
            <w:pPr>
              <w:pStyle w:val="TableText"/>
            </w:pPr>
            <w:r>
              <w:rPr>
                <w:rFonts w:ascii="Calibri" w:hAnsi="Calibri"/>
                <w:sz w:val="19"/>
              </w:rPr>
              <w:t>Support manual non-destructive reversible merge with preserved records and lifecycle events.</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FR-021</w:t>
            </w:r>
          </w:p>
        </w:tc>
        <w:tc>
          <w:tcPr>
            <w:tcW w:type="dxa" w:w="2300"/>
            <w:tcMar>
              <w:top w:w="80" w:type="dxa"/>
              <w:start w:w="120" w:type="dxa"/>
              <w:bottom w:w="80" w:type="dxa"/>
              <w:end w:w="120" w:type="dxa"/>
            </w:tcMar>
            <w:vAlign w:val="center"/>
          </w:tcPr>
          <w:p>
            <w:pPr>
              <w:pStyle w:val="TableText"/>
            </w:pPr>
            <w:r>
              <w:rPr>
                <w:rFonts w:ascii="Calibri" w:hAnsi="Calibri"/>
                <w:sz w:val="19"/>
              </w:rPr>
              <w:t>Deletion</w:t>
            </w:r>
          </w:p>
        </w:tc>
        <w:tc>
          <w:tcPr>
            <w:tcW w:type="dxa" w:w="6010"/>
            <w:tcMar>
              <w:top w:w="80" w:type="dxa"/>
              <w:start w:w="120" w:type="dxa"/>
              <w:bottom w:w="80" w:type="dxa"/>
              <w:end w:w="120" w:type="dxa"/>
            </w:tcMar>
            <w:vAlign w:val="center"/>
          </w:tcPr>
          <w:p>
            <w:pPr>
              <w:pStyle w:val="TableText"/>
            </w:pPr>
            <w:r>
              <w:rPr>
                <w:rFonts w:ascii="Calibri" w:hAnsi="Calibri"/>
                <w:sz w:val="19"/>
              </w:rPr>
              <w:t>Permanently delete an opportunity and exclusively owned dependent data after confirmation while preserving shared referenced research.</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FR-022</w:t>
            </w:r>
          </w:p>
        </w:tc>
        <w:tc>
          <w:tcPr>
            <w:tcW w:type="dxa" w:w="2300"/>
            <w:tcMar>
              <w:top w:w="80" w:type="dxa"/>
              <w:start w:w="120" w:type="dxa"/>
              <w:bottom w:w="80" w:type="dxa"/>
              <w:end w:w="120" w:type="dxa"/>
            </w:tcMar>
            <w:vAlign w:val="center"/>
          </w:tcPr>
          <w:p>
            <w:pPr>
              <w:pStyle w:val="TableText"/>
            </w:pPr>
            <w:r>
              <w:rPr>
                <w:rFonts w:ascii="Calibri" w:hAnsi="Calibri"/>
                <w:sz w:val="19"/>
              </w:rPr>
              <w:t>Settings</w:t>
            </w:r>
          </w:p>
        </w:tc>
        <w:tc>
          <w:tcPr>
            <w:tcW w:type="dxa" w:w="6010"/>
            <w:tcMar>
              <w:top w:w="80" w:type="dxa"/>
              <w:start w:w="120" w:type="dxa"/>
              <w:bottom w:w="80" w:type="dxa"/>
              <w:end w:w="120" w:type="dxa"/>
            </w:tcMar>
            <w:vAlign w:val="center"/>
          </w:tcPr>
          <w:p>
            <w:pPr>
              <w:pStyle w:val="TableText"/>
            </w:pPr>
            <w:r>
              <w:rPr>
                <w:rFonts w:ascii="Calibri" w:hAnsi="Calibri"/>
                <w:sz w:val="19"/>
              </w:rPr>
              <w:t>Persist validated operator settings, protect shipped defaults, and restore them through Reset to defaults; provide no temporary overrides.</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FR-023</w:t>
            </w:r>
          </w:p>
        </w:tc>
        <w:tc>
          <w:tcPr>
            <w:tcW w:type="dxa" w:w="2300"/>
            <w:tcMar>
              <w:top w:w="80" w:type="dxa"/>
              <w:start w:w="120" w:type="dxa"/>
              <w:bottom w:w="80" w:type="dxa"/>
              <w:end w:w="120" w:type="dxa"/>
            </w:tcMar>
            <w:vAlign w:val="center"/>
          </w:tcPr>
          <w:p>
            <w:pPr>
              <w:pStyle w:val="TableText"/>
            </w:pPr>
            <w:r>
              <w:rPr>
                <w:rFonts w:ascii="Calibri" w:hAnsi="Calibri"/>
                <w:sz w:val="19"/>
              </w:rPr>
              <w:t>Accounting and limits</w:t>
            </w:r>
          </w:p>
        </w:tc>
        <w:tc>
          <w:tcPr>
            <w:tcW w:type="dxa" w:w="6010"/>
            <w:tcMar>
              <w:top w:w="80" w:type="dxa"/>
              <w:start w:w="120" w:type="dxa"/>
              <w:bottom w:w="80" w:type="dxa"/>
              <w:end w:w="120" w:type="dxa"/>
            </w:tcMar>
            <w:vAlign w:val="center"/>
          </w:tcPr>
          <w:p>
            <w:pPr>
              <w:pStyle w:val="TableText"/>
            </w:pPr>
            <w:r>
              <w:rPr>
                <w:rFonts w:ascii="Calibri" w:hAnsi="Calibri"/>
                <w:sz w:val="19"/>
              </w:rPr>
              <w:t>Enforce and display per-call/total token and bounded work counters without monetary cost calculations.</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FR-024</w:t>
            </w:r>
          </w:p>
        </w:tc>
        <w:tc>
          <w:tcPr>
            <w:tcW w:type="dxa" w:w="2300"/>
            <w:tcMar>
              <w:top w:w="80" w:type="dxa"/>
              <w:start w:w="120" w:type="dxa"/>
              <w:bottom w:w="80" w:type="dxa"/>
              <w:end w:w="120" w:type="dxa"/>
            </w:tcMar>
            <w:vAlign w:val="center"/>
          </w:tcPr>
          <w:p>
            <w:pPr>
              <w:pStyle w:val="TableText"/>
            </w:pPr>
            <w:r>
              <w:rPr>
                <w:rFonts w:ascii="Calibri" w:hAnsi="Calibri"/>
                <w:sz w:val="19"/>
              </w:rPr>
              <w:t>Cleanup and logs</w:t>
            </w:r>
          </w:p>
        </w:tc>
        <w:tc>
          <w:tcPr>
            <w:tcW w:type="dxa" w:w="6010"/>
            <w:tcMar>
              <w:top w:w="80" w:type="dxa"/>
              <w:start w:w="120" w:type="dxa"/>
              <w:bottom w:w="80" w:type="dxa"/>
              <w:end w:w="120" w:type="dxa"/>
            </w:tcMar>
            <w:vAlign w:val="center"/>
          </w:tcPr>
          <w:p>
            <w:pPr>
              <w:pStyle w:val="TableText"/>
            </w:pPr>
            <w:r>
              <w:rPr>
                <w:rFonts w:ascii="Calibri" w:hAnsi="Calibri"/>
                <w:sz w:val="19"/>
              </w:rPr>
              <w:t>Delete processing data at terminal cleanup and retain only bounded redacted rotating diagnostics.</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FR-025</w:t>
            </w:r>
          </w:p>
        </w:tc>
        <w:tc>
          <w:tcPr>
            <w:tcW w:type="dxa" w:w="2300"/>
            <w:tcMar>
              <w:top w:w="80" w:type="dxa"/>
              <w:start w:w="120" w:type="dxa"/>
              <w:bottom w:w="80" w:type="dxa"/>
              <w:end w:w="120" w:type="dxa"/>
            </w:tcMar>
            <w:vAlign w:val="center"/>
          </w:tcPr>
          <w:p>
            <w:pPr>
              <w:pStyle w:val="TableText"/>
            </w:pPr>
            <w:r>
              <w:rPr>
                <w:rFonts w:ascii="Calibri" w:hAnsi="Calibri"/>
                <w:sz w:val="19"/>
              </w:rPr>
              <w:t>Local model lifecycle</w:t>
            </w:r>
          </w:p>
        </w:tc>
        <w:tc>
          <w:tcPr>
            <w:tcW w:type="dxa" w:w="6010"/>
            <w:tcMar>
              <w:top w:w="80" w:type="dxa"/>
              <w:start w:w="120" w:type="dxa"/>
              <w:bottom w:w="80" w:type="dxa"/>
              <w:end w:w="120" w:type="dxa"/>
            </w:tcMar>
            <w:vAlign w:val="center"/>
          </w:tcPr>
          <w:p>
            <w:pPr>
              <w:pStyle w:val="TableText"/>
            </w:pPr>
            <w:r>
              <w:rPr>
                <w:rFonts w:ascii="Calibri" w:hAnsi="Calibri"/>
                <w:sz w:val="19"/>
              </w:rPr>
              <w:t>At Pensae Signal startup, reuse healthy compatible chat/embedding endpoints or start missing native Fedora llama.cpp processes from protected configuration; use bounded readiness, record ownership, and stop only owned processes.</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FR-026</w:t>
            </w:r>
          </w:p>
        </w:tc>
        <w:tc>
          <w:tcPr>
            <w:tcW w:type="dxa" w:w="2300"/>
            <w:tcMar>
              <w:top w:w="80" w:type="dxa"/>
              <w:start w:w="120" w:type="dxa"/>
              <w:bottom w:w="80" w:type="dxa"/>
              <w:end w:w="120" w:type="dxa"/>
            </w:tcMar>
            <w:vAlign w:val="center"/>
          </w:tcPr>
          <w:p>
            <w:pPr>
              <w:pStyle w:val="TableText"/>
            </w:pPr>
            <w:r>
              <w:rPr>
                <w:rFonts w:ascii="Calibri" w:hAnsi="Calibri"/>
                <w:sz w:val="19"/>
              </w:rPr>
              <w:t>Five-opportunity breadth</w:t>
            </w:r>
          </w:p>
        </w:tc>
        <w:tc>
          <w:tcPr>
            <w:tcW w:type="dxa" w:w="6010"/>
            <w:tcMar>
              <w:top w:w="80" w:type="dxa"/>
              <w:start w:w="120" w:type="dxa"/>
              <w:bottom w:w="80" w:type="dxa"/>
              <w:end w:w="120" w:type="dxa"/>
            </w:tcMar>
            <w:vAlign w:val="center"/>
          </w:tcPr>
          <w:p>
            <w:pPr>
              <w:pStyle w:val="TableText"/>
            </w:pPr>
            <w:r>
              <w:rPr>
                <w:rFonts w:ascii="Calibri" w:hAnsi="Calibri"/>
                <w:sz w:val="19"/>
              </w:rPr>
              <w:t>On a representative sufficient-evidence run, continue deterministic candidate evaluation until five distinct opportunities commit or the bounded admissible pool is exhausted; never weaken evidence gates or invent filler, exclude automatic exact rediscoveries from the target, reserve finalization capacity, preserve each earlier atomic commit, and expose an explicit shortfall reason.</w:t>
            </w:r>
          </w:p>
        </w:tc>
      </w:tr>
      <w:tr>
        <w:trPr>
          <w:cantSplit w:val="true"/>
        </w:trPr>
        <w:tc>
          <w:tcPr>
            <w:tcW w:type="dxa" w:w="1050"/>
            <w:tcMar>
              <w:top w:w="80" w:type="dxa"/>
              <w:start w:w="120" w:type="dxa"/>
              <w:bottom w:w="80" w:type="dxa"/>
              <w:end w:w="120" w:type="dxa"/>
            </w:tcMar>
            <w:vAlign w:val="center"/>
          </w:tcPr>
          <w:p>
            <w:pPr>
              <w:pStyle w:val="TableText"/>
            </w:pPr>
            <w:r>
              <w:rPr>
                <w:rFonts w:ascii="Calibri" w:hAnsi="Calibri"/>
                <w:sz w:val="19"/>
              </w:rPr>
              <w:t>FR-027</w:t>
            </w:r>
          </w:p>
        </w:tc>
        <w:tc>
          <w:tcPr>
            <w:tcW w:type="dxa" w:w="2300"/>
            <w:tcMar>
              <w:top w:w="80" w:type="dxa"/>
              <w:start w:w="120" w:type="dxa"/>
              <w:bottom w:w="80" w:type="dxa"/>
              <w:end w:w="120" w:type="dxa"/>
            </w:tcMar>
            <w:vAlign w:val="center"/>
          </w:tcPr>
          <w:p>
            <w:pPr>
              <w:pStyle w:val="TableText"/>
            </w:pPr>
            <w:r>
              <w:rPr>
                <w:rFonts w:ascii="Calibri" w:hAnsi="Calibri"/>
                <w:sz w:val="19"/>
              </w:rPr>
              <w:t>Application identity</w:t>
            </w:r>
          </w:p>
        </w:tc>
        <w:tc>
          <w:tcPr>
            <w:tcW w:type="dxa" w:w="6010"/>
            <w:tcMar>
              <w:top w:w="80" w:type="dxa"/>
              <w:start w:w="120" w:type="dxa"/>
              <w:bottom w:w="80" w:type="dxa"/>
              <w:end w:w="120" w:type="dxa"/>
            </w:tcMar>
            <w:vAlign w:val="center"/>
          </w:tcPr>
          <w:p>
            <w:pPr>
              <w:pStyle w:val="TableText"/>
            </w:pPr>
            <w:r>
              <w:rPr>
                <w:rFonts w:ascii="Calibri" w:hAnsi="Calibri"/>
                <w:sz w:val="19"/>
              </w:rPr>
              <w:t>Identify the current human-facing product as Pensae Signal while preserving Pensae as the owning company/project and preserving every enumerated compatibility identifier and immutable historical artifact.</w:t>
            </w:r>
          </w:p>
        </w:tc>
      </w:tr>
    </w:tbl>
    <w:p>
      <w:pPr>
        <w:spacing w:after="0" w:line="120" w:lineRule="auto"/>
      </w:pPr>
    </w:p>
    <w:p>
      <w:pPr>
        <w:pStyle w:val="Heading1"/>
        <w:keepNext/>
      </w:pPr>
      <w:r>
        <w:t>16. Non-functional requirements</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150"/>
        <w:gridCol w:w="2200"/>
        <w:gridCol w:w="6010"/>
      </w:tblGrid>
      <w:tr>
        <w:trPr>
          <w:tblHeader w:val="true"/>
          <w:cantSplit w:val="true"/>
        </w:trPr>
        <w:tc>
          <w:tcPr>
            <w:tcW w:type="dxa" w:w="1150"/>
            <w:tcMar>
              <w:top w:w="80" w:type="dxa"/>
              <w:start w:w="120" w:type="dxa"/>
              <w:bottom w:w="80" w:type="dxa"/>
              <w:end w:w="120" w:type="dxa"/>
            </w:tcMar>
            <w:vAlign w:val="center"/>
            <w:shd w:fill="F2F4F7"/>
          </w:tcPr>
          <w:p>
            <w:pPr>
              <w:pStyle w:val="TableText"/>
              <w:keepNext/>
            </w:pPr>
            <w:r>
              <w:rPr>
                <w:rFonts w:ascii="Calibri" w:hAnsi="Calibri"/>
                <w:b/>
                <w:color w:val="0B2545"/>
                <w:sz w:val="19"/>
              </w:rPr>
              <w:t>ID</w:t>
            </w:r>
          </w:p>
        </w:tc>
        <w:tc>
          <w:tcPr>
            <w:tcW w:type="dxa" w:w="2200"/>
            <w:tcMar>
              <w:top w:w="80" w:type="dxa"/>
              <w:start w:w="120" w:type="dxa"/>
              <w:bottom w:w="80" w:type="dxa"/>
              <w:end w:w="120" w:type="dxa"/>
            </w:tcMar>
            <w:vAlign w:val="center"/>
            <w:shd w:fill="F2F4F7"/>
          </w:tcPr>
          <w:p>
            <w:pPr>
              <w:pStyle w:val="TableText"/>
              <w:keepNext/>
            </w:pPr>
            <w:r>
              <w:rPr>
                <w:rFonts w:ascii="Calibri" w:hAnsi="Calibri"/>
                <w:b/>
                <w:color w:val="0B2545"/>
                <w:sz w:val="19"/>
              </w:rPr>
              <w:t>Quality</w:t>
            </w:r>
          </w:p>
        </w:tc>
        <w:tc>
          <w:tcPr>
            <w:tcW w:type="dxa" w:w="6010"/>
            <w:tcMar>
              <w:top w:w="80" w:type="dxa"/>
              <w:start w:w="120" w:type="dxa"/>
              <w:bottom w:w="80" w:type="dxa"/>
              <w:end w:w="120" w:type="dxa"/>
            </w:tcMar>
            <w:vAlign w:val="center"/>
            <w:shd w:fill="F2F4F7"/>
          </w:tcPr>
          <w:p>
            <w:pPr>
              <w:pStyle w:val="TableText"/>
              <w:keepNext/>
            </w:pPr>
            <w:r>
              <w:rPr>
                <w:rFonts w:ascii="Calibri" w:hAnsi="Calibri"/>
                <w:b/>
                <w:color w:val="0B2545"/>
                <w:sz w:val="19"/>
              </w:rPr>
              <w:t>Requirement</w:t>
            </w:r>
          </w:p>
        </w:tc>
      </w:tr>
      <w:tr>
        <w:trPr>
          <w:cantSplit w:val="true"/>
        </w:trPr>
        <w:tc>
          <w:tcPr>
            <w:tcW w:type="dxa" w:w="1150"/>
            <w:tcMar>
              <w:top w:w="80" w:type="dxa"/>
              <w:start w:w="120" w:type="dxa"/>
              <w:bottom w:w="80" w:type="dxa"/>
              <w:end w:w="120" w:type="dxa"/>
            </w:tcMar>
            <w:vAlign w:val="center"/>
          </w:tcPr>
          <w:p>
            <w:pPr>
              <w:pStyle w:val="TableText"/>
            </w:pPr>
            <w:r>
              <w:rPr>
                <w:rFonts w:ascii="Calibri" w:hAnsi="Calibri"/>
                <w:sz w:val="19"/>
              </w:rPr>
              <w:t>NFR-001</w:t>
            </w:r>
          </w:p>
        </w:tc>
        <w:tc>
          <w:tcPr>
            <w:tcW w:type="dxa" w:w="2200"/>
            <w:tcMar>
              <w:top w:w="80" w:type="dxa"/>
              <w:start w:w="120" w:type="dxa"/>
              <w:bottom w:w="80" w:type="dxa"/>
              <w:end w:w="120" w:type="dxa"/>
            </w:tcMar>
            <w:vAlign w:val="center"/>
          </w:tcPr>
          <w:p>
            <w:pPr>
              <w:pStyle w:val="TableText"/>
            </w:pPr>
            <w:r>
              <w:rPr>
                <w:rFonts w:ascii="Calibri" w:hAnsi="Calibri"/>
                <w:sz w:val="19"/>
              </w:rPr>
              <w:t>Evidence integrity</w:t>
            </w:r>
          </w:p>
        </w:tc>
        <w:tc>
          <w:tcPr>
            <w:tcW w:type="dxa" w:w="6010"/>
            <w:tcMar>
              <w:top w:w="80" w:type="dxa"/>
              <w:start w:w="120" w:type="dxa"/>
              <w:bottom w:w="80" w:type="dxa"/>
              <w:end w:w="120" w:type="dxa"/>
            </w:tcMar>
            <w:vAlign w:val="center"/>
          </w:tcPr>
          <w:p>
            <w:pPr>
              <w:pStyle w:val="TableText"/>
            </w:pPr>
            <w:r>
              <w:rPr>
                <w:rFonts w:ascii="Calibri" w:hAnsi="Calibri"/>
                <w:sz w:val="19"/>
              </w:rPr>
              <w:t>No invented citation, excerpt, source, or factual support. Persisted excerpts must mechanically match retrieved text.</w:t>
            </w:r>
          </w:p>
        </w:tc>
      </w:tr>
      <w:tr>
        <w:trPr>
          <w:cantSplit w:val="true"/>
        </w:trPr>
        <w:tc>
          <w:tcPr>
            <w:tcW w:type="dxa" w:w="1150"/>
            <w:tcMar>
              <w:top w:w="80" w:type="dxa"/>
              <w:start w:w="120" w:type="dxa"/>
              <w:bottom w:w="80" w:type="dxa"/>
              <w:end w:w="120" w:type="dxa"/>
            </w:tcMar>
            <w:vAlign w:val="center"/>
          </w:tcPr>
          <w:p>
            <w:pPr>
              <w:pStyle w:val="TableText"/>
            </w:pPr>
            <w:r>
              <w:rPr>
                <w:rFonts w:ascii="Calibri" w:hAnsi="Calibri"/>
                <w:sz w:val="19"/>
              </w:rPr>
              <w:t>NFR-002</w:t>
            </w:r>
          </w:p>
        </w:tc>
        <w:tc>
          <w:tcPr>
            <w:tcW w:type="dxa" w:w="2200"/>
            <w:tcMar>
              <w:top w:w="80" w:type="dxa"/>
              <w:start w:w="120" w:type="dxa"/>
              <w:bottom w:w="80" w:type="dxa"/>
              <w:end w:w="120" w:type="dxa"/>
            </w:tcMar>
            <w:vAlign w:val="center"/>
          </w:tcPr>
          <w:p>
            <w:pPr>
              <w:pStyle w:val="TableText"/>
            </w:pPr>
            <w:r>
              <w:rPr>
                <w:rFonts w:ascii="Calibri" w:hAnsi="Calibri"/>
                <w:sz w:val="19"/>
              </w:rPr>
              <w:t>Explainability</w:t>
            </w:r>
          </w:p>
        </w:tc>
        <w:tc>
          <w:tcPr>
            <w:tcW w:type="dxa" w:w="6010"/>
            <w:tcMar>
              <w:top w:w="80" w:type="dxa"/>
              <w:start w:w="120" w:type="dxa"/>
              <w:bottom w:w="80" w:type="dxa"/>
              <w:end w:w="120" w:type="dxa"/>
            </w:tcMar>
            <w:vAlign w:val="center"/>
          </w:tcPr>
          <w:p>
            <w:pPr>
              <w:pStyle w:val="TableText"/>
            </w:pPr>
            <w:r>
              <w:rPr>
                <w:rFonts w:ascii="Calibri" w:hAnsi="Calibri"/>
                <w:sz w:val="19"/>
              </w:rPr>
              <w:t>The UI shows why an opportunity, score, verdict, warning, relation, update, or stop decision exists.</w:t>
            </w:r>
          </w:p>
        </w:tc>
      </w:tr>
      <w:tr>
        <w:trPr>
          <w:cantSplit w:val="true"/>
        </w:trPr>
        <w:tc>
          <w:tcPr>
            <w:tcW w:type="dxa" w:w="1150"/>
            <w:tcMar>
              <w:top w:w="80" w:type="dxa"/>
              <w:start w:w="120" w:type="dxa"/>
              <w:bottom w:w="80" w:type="dxa"/>
              <w:end w:w="120" w:type="dxa"/>
            </w:tcMar>
            <w:vAlign w:val="center"/>
          </w:tcPr>
          <w:p>
            <w:pPr>
              <w:pStyle w:val="TableText"/>
            </w:pPr>
            <w:r>
              <w:rPr>
                <w:rFonts w:ascii="Calibri" w:hAnsi="Calibri"/>
                <w:sz w:val="19"/>
              </w:rPr>
              <w:t>NFR-003</w:t>
            </w:r>
          </w:p>
        </w:tc>
        <w:tc>
          <w:tcPr>
            <w:tcW w:type="dxa" w:w="2200"/>
            <w:tcMar>
              <w:top w:w="80" w:type="dxa"/>
              <w:start w:w="120" w:type="dxa"/>
              <w:bottom w:w="80" w:type="dxa"/>
              <w:end w:w="120" w:type="dxa"/>
            </w:tcMar>
            <w:vAlign w:val="center"/>
          </w:tcPr>
          <w:p>
            <w:pPr>
              <w:pStyle w:val="TableText"/>
            </w:pPr>
            <w:r>
              <w:rPr>
                <w:rFonts w:ascii="Calibri" w:hAnsi="Calibri"/>
                <w:sz w:val="19"/>
              </w:rPr>
              <w:t>Local safety</w:t>
            </w:r>
          </w:p>
        </w:tc>
        <w:tc>
          <w:tcPr>
            <w:tcW w:type="dxa" w:w="6010"/>
            <w:tcMar>
              <w:top w:w="80" w:type="dxa"/>
              <w:start w:w="120" w:type="dxa"/>
              <w:bottom w:w="80" w:type="dxa"/>
              <w:end w:w="120" w:type="dxa"/>
            </w:tcMar>
            <w:vAlign w:val="center"/>
          </w:tcPr>
          <w:p>
            <w:pPr>
              <w:pStyle w:val="TableText"/>
            </w:pPr>
            <w:r>
              <w:rPr>
                <w:rFonts w:ascii="Calibri" w:hAnsi="Calibri"/>
                <w:sz w:val="19"/>
              </w:rPr>
              <w:t>Loopback-only services, restricted retrieval, endpoint separation, untrusted-content handling, and validation protect the operator's computer.</w:t>
            </w:r>
          </w:p>
        </w:tc>
      </w:tr>
      <w:tr>
        <w:trPr>
          <w:cantSplit w:val="true"/>
        </w:trPr>
        <w:tc>
          <w:tcPr>
            <w:tcW w:type="dxa" w:w="1150"/>
            <w:tcMar>
              <w:top w:w="80" w:type="dxa"/>
              <w:start w:w="120" w:type="dxa"/>
              <w:bottom w:w="80" w:type="dxa"/>
              <w:end w:w="120" w:type="dxa"/>
            </w:tcMar>
            <w:vAlign w:val="center"/>
          </w:tcPr>
          <w:p>
            <w:pPr>
              <w:pStyle w:val="TableText"/>
            </w:pPr>
            <w:r>
              <w:rPr>
                <w:rFonts w:ascii="Calibri" w:hAnsi="Calibri"/>
                <w:sz w:val="19"/>
              </w:rPr>
              <w:t>NFR-004</w:t>
            </w:r>
          </w:p>
        </w:tc>
        <w:tc>
          <w:tcPr>
            <w:tcW w:type="dxa" w:w="2200"/>
            <w:tcMar>
              <w:top w:w="80" w:type="dxa"/>
              <w:start w:w="120" w:type="dxa"/>
              <w:bottom w:w="80" w:type="dxa"/>
              <w:end w:w="120" w:type="dxa"/>
            </w:tcMar>
            <w:vAlign w:val="center"/>
          </w:tcPr>
          <w:p>
            <w:pPr>
              <w:pStyle w:val="TableText"/>
            </w:pPr>
            <w:r>
              <w:rPr>
                <w:rFonts w:ascii="Calibri" w:hAnsi="Calibri"/>
                <w:sz w:val="19"/>
              </w:rPr>
              <w:t>Bounded execution</w:t>
            </w:r>
          </w:p>
        </w:tc>
        <w:tc>
          <w:tcPr>
            <w:tcW w:type="dxa" w:w="6010"/>
            <w:tcMar>
              <w:top w:w="80" w:type="dxa"/>
              <w:start w:w="120" w:type="dxa"/>
              <w:bottom w:w="80" w:type="dxa"/>
              <w:end w:w="120" w:type="dxa"/>
            </w:tcMar>
            <w:vAlign w:val="center"/>
          </w:tcPr>
          <w:p>
            <w:pPr>
              <w:pStyle w:val="TableText"/>
            </w:pPr>
            <w:r>
              <w:rPr>
                <w:rFonts w:ascii="Calibri" w:hAnsi="Calibri"/>
                <w:sz w:val="19"/>
              </w:rPr>
              <w:t>Every search, retrieval, model call, repair, retry, candidate stage, and token count has a configured bound; individual calls have timeouts.</w:t>
            </w:r>
          </w:p>
        </w:tc>
      </w:tr>
      <w:tr>
        <w:trPr>
          <w:cantSplit w:val="true"/>
        </w:trPr>
        <w:tc>
          <w:tcPr>
            <w:tcW w:type="dxa" w:w="1150"/>
            <w:tcMar>
              <w:top w:w="80" w:type="dxa"/>
              <w:start w:w="120" w:type="dxa"/>
              <w:bottom w:w="80" w:type="dxa"/>
              <w:end w:w="120" w:type="dxa"/>
            </w:tcMar>
            <w:vAlign w:val="center"/>
          </w:tcPr>
          <w:p>
            <w:pPr>
              <w:pStyle w:val="TableText"/>
            </w:pPr>
            <w:r>
              <w:rPr>
                <w:rFonts w:ascii="Calibri" w:hAnsi="Calibri"/>
                <w:sz w:val="19"/>
              </w:rPr>
              <w:t>NFR-005</w:t>
            </w:r>
          </w:p>
        </w:tc>
        <w:tc>
          <w:tcPr>
            <w:tcW w:type="dxa" w:w="2200"/>
            <w:tcMar>
              <w:top w:w="80" w:type="dxa"/>
              <w:start w:w="120" w:type="dxa"/>
              <w:bottom w:w="80" w:type="dxa"/>
              <w:end w:w="120" w:type="dxa"/>
            </w:tcMar>
            <w:vAlign w:val="center"/>
          </w:tcPr>
          <w:p>
            <w:pPr>
              <w:pStyle w:val="TableText"/>
            </w:pPr>
            <w:r>
              <w:rPr>
                <w:rFonts w:ascii="Calibri" w:hAnsi="Calibri"/>
                <w:sz w:val="19"/>
              </w:rPr>
              <w:t>Transactional integrity</w:t>
            </w:r>
          </w:p>
        </w:tc>
        <w:tc>
          <w:tcPr>
            <w:tcW w:type="dxa" w:w="6010"/>
            <w:tcMar>
              <w:top w:w="80" w:type="dxa"/>
              <w:start w:w="120" w:type="dxa"/>
              <w:bottom w:w="80" w:type="dxa"/>
              <w:end w:w="120" w:type="dxa"/>
            </w:tcMar>
            <w:vAlign w:val="center"/>
          </w:tcPr>
          <w:p>
            <w:pPr>
              <w:pStyle w:val="TableText"/>
            </w:pPr>
            <w:r>
              <w:rPr>
                <w:rFonts w:ascii="Calibri" w:hAnsi="Calibri"/>
                <w:sz w:val="19"/>
              </w:rPr>
              <w:t>Only complete opportunities commit; cancellation, dependency loss, or failure never corrupts or removes prior commits.</w:t>
            </w:r>
          </w:p>
        </w:tc>
      </w:tr>
      <w:tr>
        <w:trPr>
          <w:cantSplit w:val="true"/>
        </w:trPr>
        <w:tc>
          <w:tcPr>
            <w:tcW w:type="dxa" w:w="1150"/>
            <w:tcMar>
              <w:top w:w="80" w:type="dxa"/>
              <w:start w:w="120" w:type="dxa"/>
              <w:bottom w:w="80" w:type="dxa"/>
              <w:end w:w="120" w:type="dxa"/>
            </w:tcMar>
            <w:vAlign w:val="center"/>
          </w:tcPr>
          <w:p>
            <w:pPr>
              <w:pStyle w:val="TableText"/>
            </w:pPr>
            <w:r>
              <w:rPr>
                <w:rFonts w:ascii="Calibri" w:hAnsi="Calibri"/>
                <w:sz w:val="19"/>
              </w:rPr>
              <w:t>NFR-006</w:t>
            </w:r>
          </w:p>
        </w:tc>
        <w:tc>
          <w:tcPr>
            <w:tcW w:type="dxa" w:w="2200"/>
            <w:tcMar>
              <w:top w:w="80" w:type="dxa"/>
              <w:start w:w="120" w:type="dxa"/>
              <w:bottom w:w="80" w:type="dxa"/>
              <w:end w:w="120" w:type="dxa"/>
            </w:tcMar>
            <w:vAlign w:val="center"/>
          </w:tcPr>
          <w:p>
            <w:pPr>
              <w:pStyle w:val="TableText"/>
            </w:pPr>
            <w:r>
              <w:rPr>
                <w:rFonts w:ascii="Calibri" w:hAnsi="Calibri"/>
                <w:sz w:val="19"/>
              </w:rPr>
              <w:t>Data minimization</w:t>
            </w:r>
          </w:p>
        </w:tc>
        <w:tc>
          <w:tcPr>
            <w:tcW w:type="dxa" w:w="6010"/>
            <w:tcMar>
              <w:top w:w="80" w:type="dxa"/>
              <w:start w:w="120" w:type="dxa"/>
              <w:bottom w:w="80" w:type="dxa"/>
              <w:end w:w="120" w:type="dxa"/>
            </w:tcMar>
            <w:vAlign w:val="center"/>
          </w:tcPr>
          <w:p>
            <w:pPr>
              <w:pStyle w:val="TableText"/>
            </w:pPr>
            <w:r>
              <w:rPr>
                <w:rFonts w:ascii="Calibri" w:hAnsi="Calibri"/>
                <w:sz w:val="19"/>
              </w:rPr>
              <w:t>No full pages or ordinary processing data persist, and orphan supporting records are removed.</w:t>
            </w:r>
          </w:p>
        </w:tc>
      </w:tr>
      <w:tr>
        <w:trPr>
          <w:cantSplit w:val="true"/>
        </w:trPr>
        <w:tc>
          <w:tcPr>
            <w:tcW w:type="dxa" w:w="1150"/>
            <w:tcMar>
              <w:top w:w="80" w:type="dxa"/>
              <w:start w:w="120" w:type="dxa"/>
              <w:bottom w:w="80" w:type="dxa"/>
              <w:end w:w="120" w:type="dxa"/>
            </w:tcMar>
            <w:vAlign w:val="center"/>
          </w:tcPr>
          <w:p>
            <w:pPr>
              <w:pStyle w:val="TableText"/>
            </w:pPr>
            <w:r>
              <w:rPr>
                <w:rFonts w:ascii="Calibri" w:hAnsi="Calibri"/>
                <w:sz w:val="19"/>
              </w:rPr>
              <w:t>NFR-007</w:t>
            </w:r>
          </w:p>
        </w:tc>
        <w:tc>
          <w:tcPr>
            <w:tcW w:type="dxa" w:w="2200"/>
            <w:tcMar>
              <w:top w:w="80" w:type="dxa"/>
              <w:start w:w="120" w:type="dxa"/>
              <w:bottom w:w="80" w:type="dxa"/>
              <w:end w:w="120" w:type="dxa"/>
            </w:tcMar>
            <w:vAlign w:val="center"/>
          </w:tcPr>
          <w:p>
            <w:pPr>
              <w:pStyle w:val="TableText"/>
            </w:pPr>
            <w:r>
              <w:rPr>
                <w:rFonts w:ascii="Calibri" w:hAnsi="Calibri"/>
                <w:sz w:val="19"/>
              </w:rPr>
              <w:t>Reproducibility</w:t>
            </w:r>
          </w:p>
        </w:tc>
        <w:tc>
          <w:tcPr>
            <w:tcW w:type="dxa" w:w="6010"/>
            <w:tcMar>
              <w:top w:w="80" w:type="dxa"/>
              <w:start w:w="120" w:type="dxa"/>
              <w:bottom w:w="80" w:type="dxa"/>
              <w:end w:w="120" w:type="dxa"/>
            </w:tcMar>
            <w:vAlign w:val="center"/>
          </w:tcPr>
          <w:p>
            <w:pPr>
              <w:pStyle w:val="TableText"/>
            </w:pPr>
            <w:r>
              <w:rPr>
                <w:rFonts w:ascii="Calibri" w:hAnsi="Calibri"/>
                <w:sz w:val="19"/>
              </w:rPr>
              <w:t>Opportunity versions record workflow, prompt, model, embedding, parameter, timestamp, and source-fingerprint provenance.</w:t>
            </w:r>
          </w:p>
        </w:tc>
      </w:tr>
      <w:tr>
        <w:trPr>
          <w:cantSplit w:val="true"/>
        </w:trPr>
        <w:tc>
          <w:tcPr>
            <w:tcW w:type="dxa" w:w="1150"/>
            <w:tcMar>
              <w:top w:w="80" w:type="dxa"/>
              <w:start w:w="120" w:type="dxa"/>
              <w:bottom w:w="80" w:type="dxa"/>
              <w:end w:w="120" w:type="dxa"/>
            </w:tcMar>
            <w:vAlign w:val="center"/>
          </w:tcPr>
          <w:p>
            <w:pPr>
              <w:pStyle w:val="TableText"/>
            </w:pPr>
            <w:r>
              <w:rPr>
                <w:rFonts w:ascii="Calibri" w:hAnsi="Calibri"/>
                <w:sz w:val="19"/>
              </w:rPr>
              <w:t>NFR-008</w:t>
            </w:r>
          </w:p>
        </w:tc>
        <w:tc>
          <w:tcPr>
            <w:tcW w:type="dxa" w:w="2200"/>
            <w:tcMar>
              <w:top w:w="80" w:type="dxa"/>
              <w:start w:w="120" w:type="dxa"/>
              <w:bottom w:w="80" w:type="dxa"/>
              <w:end w:w="120" w:type="dxa"/>
            </w:tcMar>
            <w:vAlign w:val="center"/>
          </w:tcPr>
          <w:p>
            <w:pPr>
              <w:pStyle w:val="TableText"/>
            </w:pPr>
            <w:r>
              <w:rPr>
                <w:rFonts w:ascii="Calibri" w:hAnsi="Calibri"/>
                <w:sz w:val="19"/>
              </w:rPr>
              <w:t>Maintainability</w:t>
            </w:r>
          </w:p>
        </w:tc>
        <w:tc>
          <w:tcPr>
            <w:tcW w:type="dxa" w:w="6010"/>
            <w:tcMar>
              <w:top w:w="80" w:type="dxa"/>
              <w:start w:w="120" w:type="dxa"/>
              <w:bottom w:w="80" w:type="dxa"/>
              <w:end w:w="120" w:type="dxa"/>
            </w:tcMar>
            <w:vAlign w:val="center"/>
          </w:tcPr>
          <w:p>
            <w:pPr>
              <w:pStyle w:val="TableText"/>
            </w:pPr>
            <w:r>
              <w:rPr>
                <w:rFonts w:ascii="Calibri" w:hAnsi="Calibri"/>
                <w:sz w:val="19"/>
              </w:rPr>
              <w:t>The implementation uses four fixed roles, one graph, explicit schemas, clear service boundaries, migrations, and no production-scale infrastructure.</w:t>
            </w:r>
          </w:p>
        </w:tc>
      </w:tr>
      <w:tr>
        <w:trPr>
          <w:cantSplit w:val="true"/>
        </w:trPr>
        <w:tc>
          <w:tcPr>
            <w:tcW w:type="dxa" w:w="1150"/>
            <w:tcMar>
              <w:top w:w="80" w:type="dxa"/>
              <w:start w:w="120" w:type="dxa"/>
              <w:bottom w:w="80" w:type="dxa"/>
              <w:end w:w="120" w:type="dxa"/>
            </w:tcMar>
            <w:vAlign w:val="center"/>
          </w:tcPr>
          <w:p>
            <w:pPr>
              <w:pStyle w:val="TableText"/>
            </w:pPr>
            <w:r>
              <w:rPr>
                <w:rFonts w:ascii="Calibri" w:hAnsi="Calibri"/>
                <w:sz w:val="19"/>
              </w:rPr>
              <w:t>NFR-009</w:t>
            </w:r>
          </w:p>
        </w:tc>
        <w:tc>
          <w:tcPr>
            <w:tcW w:type="dxa" w:w="2200"/>
            <w:tcMar>
              <w:top w:w="80" w:type="dxa"/>
              <w:start w:w="120" w:type="dxa"/>
              <w:bottom w:w="80" w:type="dxa"/>
              <w:end w:w="120" w:type="dxa"/>
            </w:tcMar>
            <w:vAlign w:val="center"/>
          </w:tcPr>
          <w:p>
            <w:pPr>
              <w:pStyle w:val="TableText"/>
            </w:pPr>
            <w:r>
              <w:rPr>
                <w:rFonts w:ascii="Calibri" w:hAnsi="Calibri"/>
                <w:sz w:val="19"/>
              </w:rPr>
              <w:t>Testability</w:t>
            </w:r>
          </w:p>
        </w:tc>
        <w:tc>
          <w:tcPr>
            <w:tcW w:type="dxa" w:w="6010"/>
            <w:tcMar>
              <w:top w:w="80" w:type="dxa"/>
              <w:start w:w="120" w:type="dxa"/>
              <w:bottom w:w="80" w:type="dxa"/>
              <w:end w:w="120" w:type="dxa"/>
            </w:tcMar>
            <w:vAlign w:val="center"/>
          </w:tcPr>
          <w:p>
            <w:pPr>
              <w:pStyle w:val="TableText"/>
            </w:pPr>
            <w:r>
              <w:rPr>
                <w:rFonts w:ascii="Calibri" w:hAnsi="Calibri"/>
                <w:sz w:val="19"/>
              </w:rPr>
              <w:t>Core graph routes, gates, clients, scoring, lifecycle actions, and failures can be tested with deterministic fakes and an offline corpus.</w:t>
            </w:r>
          </w:p>
        </w:tc>
      </w:tr>
      <w:tr>
        <w:trPr>
          <w:cantSplit w:val="true"/>
        </w:trPr>
        <w:tc>
          <w:tcPr>
            <w:tcW w:type="dxa" w:w="1150"/>
            <w:tcMar>
              <w:top w:w="80" w:type="dxa"/>
              <w:start w:w="120" w:type="dxa"/>
              <w:bottom w:w="80" w:type="dxa"/>
              <w:end w:w="120" w:type="dxa"/>
            </w:tcMar>
            <w:vAlign w:val="center"/>
          </w:tcPr>
          <w:p>
            <w:pPr>
              <w:pStyle w:val="TableText"/>
            </w:pPr>
            <w:r>
              <w:rPr>
                <w:rFonts w:ascii="Calibri" w:hAnsi="Calibri"/>
                <w:sz w:val="19"/>
              </w:rPr>
              <w:t>NFR-010</w:t>
            </w:r>
          </w:p>
        </w:tc>
        <w:tc>
          <w:tcPr>
            <w:tcW w:type="dxa" w:w="2200"/>
            <w:tcMar>
              <w:top w:w="80" w:type="dxa"/>
              <w:start w:w="120" w:type="dxa"/>
              <w:bottom w:w="80" w:type="dxa"/>
              <w:end w:w="120" w:type="dxa"/>
            </w:tcMar>
            <w:vAlign w:val="center"/>
          </w:tcPr>
          <w:p>
            <w:pPr>
              <w:pStyle w:val="TableText"/>
            </w:pPr>
            <w:r>
              <w:rPr>
                <w:rFonts w:ascii="Calibri" w:hAnsi="Calibri"/>
                <w:sz w:val="19"/>
              </w:rPr>
              <w:t>Local operability</w:t>
            </w:r>
          </w:p>
        </w:tc>
        <w:tc>
          <w:tcPr>
            <w:tcW w:type="dxa" w:w="6010"/>
            <w:tcMar>
              <w:top w:w="80" w:type="dxa"/>
              <w:start w:w="120" w:type="dxa"/>
              <w:bottom w:w="80" w:type="dxa"/>
              <w:end w:w="120" w:type="dxa"/>
            </w:tcMar>
            <w:vAlign w:val="center"/>
          </w:tcPr>
          <w:p>
            <w:pPr>
              <w:pStyle w:val="TableText"/>
            </w:pPr>
            <w:r>
              <w:rPr>
                <w:rFonts w:ascii="Calibri" w:hAnsi="Calibri"/>
                <w:sz w:val="19"/>
              </w:rPr>
              <w:t>Startup health checks identify unavailable required services and block runs with actionable errors.</w:t>
            </w:r>
          </w:p>
        </w:tc>
      </w:tr>
      <w:tr>
        <w:trPr>
          <w:cantSplit w:val="true"/>
        </w:trPr>
        <w:tc>
          <w:tcPr>
            <w:tcW w:type="dxa" w:w="1150"/>
            <w:tcMar>
              <w:top w:w="80" w:type="dxa"/>
              <w:start w:w="120" w:type="dxa"/>
              <w:bottom w:w="80" w:type="dxa"/>
              <w:end w:w="120" w:type="dxa"/>
            </w:tcMar>
            <w:vAlign w:val="center"/>
          </w:tcPr>
          <w:p>
            <w:pPr>
              <w:pStyle w:val="TableText"/>
            </w:pPr>
            <w:r>
              <w:rPr>
                <w:rFonts w:ascii="Calibri" w:hAnsi="Calibri"/>
                <w:sz w:val="19"/>
              </w:rPr>
              <w:t>NFR-011</w:t>
            </w:r>
          </w:p>
        </w:tc>
        <w:tc>
          <w:tcPr>
            <w:tcW w:type="dxa" w:w="2200"/>
            <w:tcMar>
              <w:top w:w="80" w:type="dxa"/>
              <w:start w:w="120" w:type="dxa"/>
              <w:bottom w:w="80" w:type="dxa"/>
              <w:end w:w="120" w:type="dxa"/>
            </w:tcMar>
            <w:vAlign w:val="center"/>
          </w:tcPr>
          <w:p>
            <w:pPr>
              <w:pStyle w:val="TableText"/>
            </w:pPr>
            <w:r>
              <w:rPr>
                <w:rFonts w:ascii="Calibri" w:hAnsi="Calibri"/>
                <w:sz w:val="19"/>
              </w:rPr>
              <w:t>Accessibility baseline</w:t>
            </w:r>
          </w:p>
        </w:tc>
        <w:tc>
          <w:tcPr>
            <w:tcW w:type="dxa" w:w="6010"/>
            <w:tcMar>
              <w:top w:w="80" w:type="dxa"/>
              <w:start w:w="120" w:type="dxa"/>
              <w:bottom w:w="80" w:type="dxa"/>
              <w:end w:w="120" w:type="dxa"/>
            </w:tcMar>
            <w:vAlign w:val="center"/>
          </w:tcPr>
          <w:p>
            <w:pPr>
              <w:pStyle w:val="TableText"/>
            </w:pPr>
            <w:r>
              <w:rPr>
                <w:rFonts w:ascii="Calibri" w:hAnsi="Calibri"/>
                <w:sz w:val="19"/>
              </w:rPr>
              <w:t>Forms, controls, status, warnings, tables, and actions have readable labels, keyboard access, and do not rely on color alone.</w:t>
            </w:r>
          </w:p>
        </w:tc>
      </w:tr>
      <w:tr>
        <w:trPr>
          <w:cantSplit w:val="true"/>
        </w:trPr>
        <w:tc>
          <w:tcPr>
            <w:tcW w:type="dxa" w:w="1150"/>
            <w:tcMar>
              <w:top w:w="80" w:type="dxa"/>
              <w:start w:w="120" w:type="dxa"/>
              <w:bottom w:w="80" w:type="dxa"/>
              <w:end w:w="120" w:type="dxa"/>
            </w:tcMar>
            <w:vAlign w:val="center"/>
          </w:tcPr>
          <w:p>
            <w:pPr>
              <w:pStyle w:val="TableText"/>
            </w:pPr>
            <w:r>
              <w:rPr>
                <w:rFonts w:ascii="Calibri" w:hAnsi="Calibri"/>
                <w:sz w:val="19"/>
              </w:rPr>
              <w:t>NFR-012</w:t>
            </w:r>
          </w:p>
        </w:tc>
        <w:tc>
          <w:tcPr>
            <w:tcW w:type="dxa" w:w="2200"/>
            <w:tcMar>
              <w:top w:w="80" w:type="dxa"/>
              <w:start w:w="120" w:type="dxa"/>
              <w:bottom w:w="80" w:type="dxa"/>
              <w:end w:w="120" w:type="dxa"/>
            </w:tcMar>
            <w:vAlign w:val="center"/>
          </w:tcPr>
          <w:p>
            <w:pPr>
              <w:pStyle w:val="TableText"/>
            </w:pPr>
            <w:r>
              <w:rPr>
                <w:rFonts w:ascii="Calibri" w:hAnsi="Calibri"/>
                <w:sz w:val="19"/>
              </w:rPr>
              <w:t>Prototype performance</w:t>
            </w:r>
          </w:p>
        </w:tc>
        <w:tc>
          <w:tcPr>
            <w:tcW w:type="dxa" w:w="6010"/>
            <w:tcMar>
              <w:top w:w="80" w:type="dxa"/>
              <w:start w:w="120" w:type="dxa"/>
              <w:bottom w:w="80" w:type="dxa"/>
              <w:end w:w="120" w:type="dxa"/>
            </w:tcMar>
            <w:vAlign w:val="center"/>
          </w:tcPr>
          <w:p>
            <w:pPr>
              <w:pStyle w:val="TableText"/>
            </w:pPr>
            <w:r>
              <w:rPr>
                <w:rFonts w:ascii="Calibri" w:hAnsi="Calibri"/>
                <w:sz w:val="19"/>
              </w:rPr>
              <w:t>There is no global response-time SLA; the UI must continue to show progress, and the workflow must not wait indefinitely on any operation.</w:t>
            </w:r>
          </w:p>
        </w:tc>
      </w:tr>
      <w:tr>
        <w:trPr>
          <w:cantSplit w:val="true"/>
        </w:trPr>
        <w:tc>
          <w:tcPr>
            <w:tcW w:type="dxa" w:w="1150"/>
            <w:tcMar>
              <w:top w:w="80" w:type="dxa"/>
              <w:start w:w="120" w:type="dxa"/>
              <w:bottom w:w="80" w:type="dxa"/>
              <w:end w:w="120" w:type="dxa"/>
            </w:tcMar>
            <w:vAlign w:val="center"/>
          </w:tcPr>
          <w:p>
            <w:pPr>
              <w:pStyle w:val="TableText"/>
            </w:pPr>
            <w:r>
              <w:rPr>
                <w:rFonts w:ascii="Calibri" w:hAnsi="Calibri"/>
                <w:sz w:val="19"/>
              </w:rPr>
              <w:t>NFR-013</w:t>
            </w:r>
          </w:p>
        </w:tc>
        <w:tc>
          <w:tcPr>
            <w:tcW w:type="dxa" w:w="2200"/>
            <w:tcMar>
              <w:top w:w="80" w:type="dxa"/>
              <w:start w:w="120" w:type="dxa"/>
              <w:bottom w:w="80" w:type="dxa"/>
              <w:end w:w="120" w:type="dxa"/>
            </w:tcMar>
            <w:vAlign w:val="center"/>
          </w:tcPr>
          <w:p>
            <w:pPr>
              <w:pStyle w:val="TableText"/>
            </w:pPr>
            <w:r>
              <w:rPr>
                <w:rFonts w:ascii="Calibri" w:hAnsi="Calibri"/>
                <w:sz w:val="19"/>
              </w:rPr>
              <w:t>Finalization capacity</w:t>
            </w:r>
          </w:p>
        </w:tc>
        <w:tc>
          <w:tcPr>
            <w:tcW w:type="dxa" w:w="6010"/>
            <w:tcMar>
              <w:top w:w="80" w:type="dxa"/>
              <w:start w:w="120" w:type="dxa"/>
              <w:bottom w:w="80" w:type="dxa"/>
              <w:end w:w="120" w:type="dxa"/>
            </w:tcMar>
            <w:vAlign w:val="center"/>
          </w:tcPr>
          <w:p>
            <w:pPr>
              <w:pStyle w:val="TableText"/>
            </w:pPr>
            <w:r>
              <w:rPr>
                <w:rFonts w:ascii="Calibri" w:hAnsi="Calibri"/>
                <w:sz w:val="19"/>
              </w:rPr>
              <w:t>Shipped bounds must be cross-field feasible and reserve sufficient model-call, repair, token, embedding, and persistence capacity for the remaining target slots so optional upstream work cannot strand a complete candidate or starve the five-opportunity target.</w:t>
            </w:r>
          </w:p>
        </w:tc>
      </w:tr>
    </w:tbl>
    <w:p>
      <w:pPr>
        <w:spacing w:after="0" w:line="120" w:lineRule="auto"/>
      </w:pPr>
    </w:p>
    <w:p>
      <w:pPr>
        <w:pStyle w:val="Heading1"/>
        <w:keepNext/>
      </w:pPr>
      <w:r>
        <w:t>17. Acceptance criteria</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100"/>
        <w:gridCol w:w="8260"/>
      </w:tblGrid>
      <w:tr>
        <w:trPr>
          <w:tblHeader w:val="true"/>
          <w:cantSplit w:val="true"/>
        </w:trPr>
        <w:tc>
          <w:tcPr>
            <w:tcW w:type="dxa" w:w="1100"/>
            <w:tcMar>
              <w:top w:w="80" w:type="dxa"/>
              <w:start w:w="120" w:type="dxa"/>
              <w:bottom w:w="80" w:type="dxa"/>
              <w:end w:w="120" w:type="dxa"/>
            </w:tcMar>
            <w:vAlign w:val="center"/>
            <w:shd w:fill="F2F4F7"/>
          </w:tcPr>
          <w:p>
            <w:pPr>
              <w:pStyle w:val="TableText"/>
              <w:keepNext/>
            </w:pPr>
            <w:r>
              <w:rPr>
                <w:rFonts w:ascii="Calibri" w:hAnsi="Calibri"/>
                <w:b/>
                <w:color w:val="0B2545"/>
                <w:sz w:val="19"/>
              </w:rPr>
              <w:t>ID</w:t>
            </w:r>
          </w:p>
        </w:tc>
        <w:tc>
          <w:tcPr>
            <w:tcW w:type="dxa" w:w="8260"/>
            <w:tcMar>
              <w:top w:w="80" w:type="dxa"/>
              <w:start w:w="120" w:type="dxa"/>
              <w:bottom w:w="80" w:type="dxa"/>
              <w:end w:w="120" w:type="dxa"/>
            </w:tcMar>
            <w:vAlign w:val="center"/>
            <w:shd w:fill="F2F4F7"/>
          </w:tcPr>
          <w:p>
            <w:pPr>
              <w:pStyle w:val="TableText"/>
              <w:keepNext/>
            </w:pPr>
            <w:r>
              <w:rPr>
                <w:rFonts w:ascii="Calibri" w:hAnsi="Calibri"/>
                <w:b/>
                <w:color w:val="0B2545"/>
                <w:sz w:val="19"/>
              </w:rPr>
              <w:t>Acceptance criterion</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AC-001</w:t>
            </w:r>
          </w:p>
        </w:tc>
        <w:tc>
          <w:tcPr>
            <w:tcW w:type="dxa" w:w="8260"/>
            <w:tcMar>
              <w:top w:w="80" w:type="dxa"/>
              <w:start w:w="120" w:type="dxa"/>
              <w:bottom w:w="80" w:type="dxa"/>
              <w:end w:w="120" w:type="dxa"/>
            </w:tcMar>
            <w:vAlign w:val="center"/>
          </w:tcPr>
          <w:p>
            <w:pPr>
              <w:pStyle w:val="TableText"/>
            </w:pPr>
            <w:r>
              <w:rPr>
                <w:rFonts w:ascii="Calibri" w:hAnsi="Calibri"/>
                <w:sz w:val="19"/>
              </w:rPr>
              <w:t>On native Fedora 44 on the workstation, Docker Compose starts PostgreSQL with pgvector, Redis, and a private SearXNG service; the Fedora launcher starts missing chat and embedding servers, and the application verifies every required capability before a run.</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AC-002</w:t>
            </w:r>
          </w:p>
        </w:tc>
        <w:tc>
          <w:tcPr>
            <w:tcW w:type="dxa" w:w="8260"/>
            <w:tcMar>
              <w:top w:w="80" w:type="dxa"/>
              <w:start w:w="120" w:type="dxa"/>
              <w:bottom w:w="80" w:type="dxa"/>
              <w:end w:w="120" w:type="dxa"/>
            </w:tcMar>
            <w:vAlign w:val="center"/>
          </w:tcPr>
          <w:p>
            <w:pPr>
              <w:pStyle w:val="TableText"/>
            </w:pPr>
            <w:r>
              <w:rPr>
                <w:rFonts w:ascii="Calibri" w:hAnsi="Calibri"/>
                <w:sz w:val="19"/>
              </w:rPr>
              <w:t>The UI/API is loopback-only by default, supports one operator and one active run, and exposes no authentication or remote-access feature.</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AC-003</w:t>
            </w:r>
          </w:p>
        </w:tc>
        <w:tc>
          <w:tcPr>
            <w:tcW w:type="dxa" w:w="8260"/>
            <w:tcMar>
              <w:top w:w="80" w:type="dxa"/>
              <w:start w:w="120" w:type="dxa"/>
              <w:bottom w:w="80" w:type="dxa"/>
              <w:end w:w="120" w:type="dxa"/>
            </w:tcMar>
            <w:vAlign w:val="center"/>
          </w:tcPr>
          <w:p>
            <w:pPr>
              <w:pStyle w:val="TableText"/>
            </w:pPr>
            <w:r>
              <w:rPr>
                <w:rFonts w:ascii="Calibri" w:hAnsi="Calibri"/>
                <w:sz w:val="19"/>
              </w:rPr>
              <w:t>Invalid saved settings, unavailable required services, missing pgvector, incompatible embedding dimension, or failed model capability checks block start with a clear local error.</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AC-004</w:t>
            </w:r>
          </w:p>
        </w:tc>
        <w:tc>
          <w:tcPr>
            <w:tcW w:type="dxa" w:w="8260"/>
            <w:tcMar>
              <w:top w:w="80" w:type="dxa"/>
              <w:start w:w="120" w:type="dxa"/>
              <w:bottom w:w="80" w:type="dxa"/>
              <w:end w:w="120" w:type="dxa"/>
            </w:tcMar>
            <w:vAlign w:val="center"/>
          </w:tcPr>
          <w:p>
            <w:pPr>
              <w:pStyle w:val="TableText"/>
            </w:pPr>
            <w:r>
              <w:rPr>
                <w:rFonts w:ascii="Calibri" w:hAnsi="Calibri"/>
                <w:sz w:val="19"/>
              </w:rPr>
              <w:t>Starting a run records an immutable configuration, workflow, prompt, chat-model, and embedding-model snapshot.</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AC-005</w:t>
            </w:r>
          </w:p>
        </w:tc>
        <w:tc>
          <w:tcPr>
            <w:tcW w:type="dxa" w:w="8260"/>
            <w:tcMar>
              <w:top w:w="80" w:type="dxa"/>
              <w:start w:w="120" w:type="dxa"/>
              <w:bottom w:w="80" w:type="dxa"/>
              <w:end w:w="120" w:type="dxa"/>
            </w:tcMar>
            <w:vAlign w:val="center"/>
          </w:tcPr>
          <w:p>
            <w:pPr>
              <w:pStyle w:val="TableText"/>
            </w:pPr>
            <w:r>
              <w:rPr>
                <w:rFonts w:ascii="Calibri" w:hAnsi="Calibri"/>
                <w:sz w:val="19"/>
              </w:rPr>
              <w:t>The Research Planner produces bounded problem-focused discovery queries and cannot invoke arbitrary HTTP or change configured limits.</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AC-006</w:t>
            </w:r>
          </w:p>
        </w:tc>
        <w:tc>
          <w:tcPr>
            <w:tcW w:type="dxa" w:w="8260"/>
            <w:tcMar>
              <w:top w:w="80" w:type="dxa"/>
              <w:start w:w="120" w:type="dxa"/>
              <w:bottom w:w="80" w:type="dxa"/>
              <w:end w:w="120" w:type="dxa"/>
            </w:tcMar>
            <w:vAlign w:val="center"/>
          </w:tcPr>
          <w:p>
            <w:pPr>
              <w:pStyle w:val="TableText"/>
            </w:pPr>
            <w:r>
              <w:rPr>
                <w:rFonts w:ascii="Calibri" w:hAnsi="Calibri"/>
                <w:sz w:val="19"/>
              </w:rPr>
              <w:t>SearXNG results are deduplicated; individual engine failures are visible warnings; there is no paid or secondary search fallback.</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AC-007</w:t>
            </w:r>
          </w:p>
        </w:tc>
        <w:tc>
          <w:tcPr>
            <w:tcW w:type="dxa" w:w="8260"/>
            <w:tcMar>
              <w:top w:w="80" w:type="dxa"/>
              <w:start w:w="120" w:type="dxa"/>
              <w:bottom w:w="80" w:type="dxa"/>
              <w:end w:w="120" w:type="dxa"/>
            </w:tcMar>
            <w:vAlign w:val="center"/>
          </w:tcPr>
          <w:p>
            <w:pPr>
              <w:pStyle w:val="TableText"/>
            </w:pPr>
            <w:r>
              <w:rPr>
                <w:rFonts w:ascii="Calibri" w:hAnsi="Calibri"/>
                <w:sz w:val="19"/>
              </w:rPr>
              <w:t>The source client blocks unsafe schemes/addresses/redirects and bounded-limit violations while continuing past ordinary inaccessible sources when evidence remains sufficient.</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AC-008</w:t>
            </w:r>
          </w:p>
        </w:tc>
        <w:tc>
          <w:tcPr>
            <w:tcW w:type="dxa" w:w="8260"/>
            <w:tcMar>
              <w:top w:w="80" w:type="dxa"/>
              <w:start w:w="120" w:type="dxa"/>
              <w:bottom w:w="80" w:type="dxa"/>
              <w:end w:w="120" w:type="dxa"/>
            </w:tcMar>
            <w:vAlign w:val="center"/>
          </w:tcPr>
          <w:p>
            <w:pPr>
              <w:pStyle w:val="TableText"/>
            </w:pPr>
            <w:r>
              <w:rPr>
                <w:rFonts w:ascii="Calibri" w:hAnsi="Calibri"/>
                <w:sz w:val="19"/>
              </w:rPr>
              <w:t>Every retained problem signal identifies a role or user, workflow, workaround or unmet need, consequence, evidence ID, and confidence.</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AC-009</w:t>
            </w:r>
          </w:p>
        </w:tc>
        <w:tc>
          <w:tcPr>
            <w:tcW w:type="dxa" w:w="8260"/>
            <w:tcMar>
              <w:top w:w="80" w:type="dxa"/>
              <w:start w:w="120" w:type="dxa"/>
              <w:bottom w:w="80" w:type="dxa"/>
              <w:end w:w="120" w:type="dxa"/>
            </w:tcMar>
            <w:vAlign w:val="center"/>
          </w:tcPr>
          <w:p>
            <w:pPr>
              <w:pStyle w:val="TableText"/>
            </w:pPr>
            <w:r>
              <w:rPr>
                <w:rFonts w:ascii="Calibri" w:hAnsi="Calibri"/>
                <w:sz w:val="19"/>
              </w:rPr>
              <w:t>Weak problem-and-segment combinations fail the deterministic preliminary gate and do not receive a full solution report or durable record.</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AC-010</w:t>
            </w:r>
          </w:p>
        </w:tc>
        <w:tc>
          <w:tcPr>
            <w:tcW w:type="dxa" w:w="8260"/>
            <w:tcMar>
              <w:top w:w="80" w:type="dxa"/>
              <w:start w:w="120" w:type="dxa"/>
              <w:bottom w:w="80" w:type="dxa"/>
              <w:end w:w="120" w:type="dxa"/>
            </w:tcMar>
            <w:vAlign w:val="center"/>
          </w:tcPr>
          <w:p>
            <w:pPr>
              <w:pStyle w:val="TableText"/>
            </w:pPr>
            <w:r>
              <w:rPr>
                <w:rFonts w:ascii="Calibri" w:hAnsi="Calibri"/>
                <w:sz w:val="19"/>
              </w:rPr>
              <w:t>A complete opportunity contains a problem pattern, target segment, buyer, workflow, solution, evidence, alternatives, commercial analysis, feasibility, differentiation, risks, unknowns, scores, verdict, and provenance.</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AC-011</w:t>
            </w:r>
          </w:p>
        </w:tc>
        <w:tc>
          <w:tcPr>
            <w:tcW w:type="dxa" w:w="8260"/>
            <w:tcMar>
              <w:top w:w="80" w:type="dxa"/>
              <w:start w:w="120" w:type="dxa"/>
              <w:bottom w:w="80" w:type="dxa"/>
              <w:end w:w="120" w:type="dxa"/>
            </w:tcMar>
            <w:vAlign w:val="center"/>
          </w:tcPr>
          <w:p>
            <w:pPr>
              <w:pStyle w:val="TableText"/>
            </w:pPr>
            <w:r>
              <w:rPr>
                <w:rFonts w:ascii="Calibri" w:hAnsi="Calibri"/>
                <w:sz w:val="19"/>
              </w:rPr>
              <w:t>Every retained material factual claim links to minimal source metadata and a short excerpt mechanically verified against retrieved text; search snippets alone cannot support a strong claim.</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AC-012</w:t>
            </w:r>
          </w:p>
        </w:tc>
        <w:tc>
          <w:tcPr>
            <w:tcW w:type="dxa" w:w="8260"/>
            <w:tcMar>
              <w:top w:w="80" w:type="dxa"/>
              <w:start w:w="120" w:type="dxa"/>
              <w:bottom w:w="80" w:type="dxa"/>
              <w:end w:w="120" w:type="dxa"/>
            </w:tcMar>
            <w:vAlign w:val="center"/>
          </w:tcPr>
          <w:p>
            <w:pPr>
              <w:pStyle w:val="TableText"/>
            </w:pPr>
            <w:r>
              <w:rPr>
                <w:rFonts w:ascii="Calibri" w:hAnsi="Calibri"/>
                <w:sz w:val="19"/>
              </w:rPr>
              <w:t>Reports distinguish sourced facts, inference, estimate, assumption, hypothesis, conflict, and missing evidence; model output is never labeled as evidence.</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AC-013</w:t>
            </w:r>
          </w:p>
        </w:tc>
        <w:tc>
          <w:tcPr>
            <w:tcW w:type="dxa" w:w="8260"/>
            <w:tcMar>
              <w:top w:w="80" w:type="dxa"/>
              <w:start w:w="120" w:type="dxa"/>
              <w:bottom w:w="80" w:type="dxa"/>
              <w:end w:w="120" w:type="dxa"/>
            </w:tcMar>
            <w:vAlign w:val="center"/>
          </w:tcPr>
          <w:p>
            <w:pPr>
              <w:pStyle w:val="TableText"/>
            </w:pPr>
            <w:r>
              <w:rPr>
                <w:rFonts w:ascii="Calibri" w:hAnsi="Calibri"/>
                <w:sz w:val="19"/>
              </w:rPr>
              <w:t>The four 1-5 scores use fixed 35/30/25/10 weights calculated by application code; the UI cannot edit scores or weights.</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AC-014</w:t>
            </w:r>
          </w:p>
        </w:tc>
        <w:tc>
          <w:tcPr>
            <w:tcW w:type="dxa" w:w="8260"/>
            <w:tcMar>
              <w:top w:w="80" w:type="dxa"/>
              <w:start w:w="120" w:type="dxa"/>
              <w:bottom w:w="80" w:type="dxa"/>
              <w:end w:w="120" w:type="dxa"/>
            </w:tcMar>
            <w:vAlign w:val="center"/>
          </w:tcPr>
          <w:p>
            <w:pPr>
              <w:pStyle w:val="TableText"/>
            </w:pPr>
            <w:r>
              <w:rPr>
                <w:rFonts w:ascii="Calibri" w:hAnsi="Calibri"/>
                <w:sz w:val="19"/>
              </w:rPr>
              <w:t>Promising, Needs more evidence, and Do not pursue follow their evidence, score, and critical-blocker rules; completed Do not pursue opportunities remain retained.</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AC-015</w:t>
            </w:r>
          </w:p>
        </w:tc>
        <w:tc>
          <w:tcPr>
            <w:tcW w:type="dxa" w:w="8260"/>
            <w:tcMar>
              <w:top w:w="80" w:type="dxa"/>
              <w:start w:w="120" w:type="dxa"/>
              <w:bottom w:w="80" w:type="dxa"/>
              <w:end w:w="120" w:type="dxa"/>
            </w:tcMar>
            <w:vAlign w:val="center"/>
          </w:tcPr>
          <w:p>
            <w:pPr>
              <w:pStyle w:val="TableText"/>
            </w:pPr>
            <w:r>
              <w:rPr>
                <w:rFonts w:ascii="Calibri" w:hAnsi="Calibri"/>
                <w:sz w:val="19"/>
              </w:rPr>
              <w:t>Agent outputs are schema-validated, receive no more than one repair attempt, and cannot directly write business data or modify routing/security/configuration.</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AC-016</w:t>
            </w:r>
          </w:p>
        </w:tc>
        <w:tc>
          <w:tcPr>
            <w:tcW w:type="dxa" w:w="8260"/>
            <w:tcMar>
              <w:top w:w="80" w:type="dxa"/>
              <w:start w:w="120" w:type="dxa"/>
              <w:bottom w:w="80" w:type="dxa"/>
              <w:end w:w="120" w:type="dxa"/>
            </w:tcMar>
            <w:vAlign w:val="center"/>
          </w:tcPr>
          <w:p>
            <w:pPr>
              <w:pStyle w:val="TableText"/>
            </w:pPr>
            <w:r>
              <w:rPr>
                <w:rFonts w:ascii="Calibri" w:hAnsi="Calibri"/>
                <w:sz w:val="19"/>
              </w:rPr>
              <w:t>All four logical agents use the configured local chat endpoint; there is no paid provider, provider fallback, evaluator model, supervisor agent, agent conversation, or long-term memory.</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AC-017</w:t>
            </w:r>
          </w:p>
        </w:tc>
        <w:tc>
          <w:tcPr>
            <w:tcW w:type="dxa" w:w="8260"/>
            <w:tcMar>
              <w:top w:w="80" w:type="dxa"/>
              <w:start w:w="120" w:type="dxa"/>
              <w:bottom w:w="80" w:type="dxa"/>
              <w:end w:w="120" w:type="dxa"/>
            </w:tcMar>
            <w:vAlign w:val="center"/>
          </w:tcPr>
          <w:p>
            <w:pPr>
              <w:pStyle w:val="TableText"/>
            </w:pPr>
            <w:r>
              <w:rPr>
                <w:rFonts w:ascii="Calibri" w:hAnsi="Calibri"/>
                <w:sz w:val="19"/>
              </w:rPr>
              <w:t>Per-call and total tokens plus bounded work counts are enforced and displayed without dollar-cost estimates.</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AC-018</w:t>
            </w:r>
          </w:p>
        </w:tc>
        <w:tc>
          <w:tcPr>
            <w:tcW w:type="dxa" w:w="8260"/>
            <w:tcMar>
              <w:top w:w="80" w:type="dxa"/>
              <w:start w:w="120" w:type="dxa"/>
              <w:bottom w:w="80" w:type="dxa"/>
              <w:end w:w="120" w:type="dxa"/>
            </w:tcMar>
            <w:vAlign w:val="center"/>
          </w:tcPr>
          <w:p>
            <w:pPr>
              <w:pStyle w:val="TableText"/>
            </w:pPr>
            <w:r>
              <w:rPr>
                <w:rFonts w:ascii="Calibri" w:hAnsi="Calibri"/>
                <w:sz w:val="19"/>
              </w:rPr>
              <w:t>Closing or refreshing the browser does not stop the run; reopening the UI reconstructs current state and consumes recent bounded Redis progress events.</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AC-019</w:t>
            </w:r>
          </w:p>
        </w:tc>
        <w:tc>
          <w:tcPr>
            <w:tcW w:type="dxa" w:w="8260"/>
            <w:tcMar>
              <w:top w:w="80" w:type="dxa"/>
              <w:start w:w="120" w:type="dxa"/>
              <w:bottom w:w="80" w:type="dxa"/>
              <w:end w:w="120" w:type="dxa"/>
            </w:tcMar>
            <w:vAlign w:val="center"/>
          </w:tcPr>
          <w:p>
            <w:pPr>
              <w:pStyle w:val="TableText"/>
            </w:pPr>
            <w:r>
              <w:rPr>
                <w:rFonts w:ascii="Calibri" w:hAnsi="Calibri"/>
                <w:sz w:val="19"/>
              </w:rPr>
              <w:t>Stop immediately sets cancellation, prevents new work, reaches Stopped after active calls finish or time out, preserves committed opportunities, and deletes the incomplete candidate.</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AC-020</w:t>
            </w:r>
          </w:p>
        </w:tc>
        <w:tc>
          <w:tcPr>
            <w:tcW w:type="dxa" w:w="8260"/>
            <w:tcMar>
              <w:top w:w="80" w:type="dxa"/>
              <w:start w:w="120" w:type="dxa"/>
              <w:bottom w:w="80" w:type="dxa"/>
              <w:end w:w="120" w:type="dxa"/>
            </w:tcMar>
            <w:vAlign w:val="center"/>
          </w:tcPr>
          <w:p>
            <w:pPr>
              <w:pStyle w:val="TableText"/>
            </w:pPr>
            <w:r>
              <w:rPr>
                <w:rFonts w:ascii="Calibri" w:hAnsi="Calibri"/>
                <w:sz w:val="19"/>
              </w:rPr>
              <w:t>Application restart does not resume a run. A previously active run becomes Stopped during startup cleanup, with completed commits intact and temporary state removed.</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AC-021</w:t>
            </w:r>
          </w:p>
        </w:tc>
        <w:tc>
          <w:tcPr>
            <w:tcW w:type="dxa" w:w="8260"/>
            <w:tcMar>
              <w:top w:w="80" w:type="dxa"/>
              <w:start w:w="120" w:type="dxa"/>
              <w:bottom w:w="80" w:type="dxa"/>
              <w:end w:w="120" w:type="dxa"/>
            </w:tcMar>
            <w:vAlign w:val="center"/>
          </w:tcPr>
          <w:p>
            <w:pPr>
              <w:pStyle w:val="TableText"/>
            </w:pPr>
            <w:r>
              <w:rPr>
                <w:rFonts w:ascii="Calibri" w:hAnsi="Calibri"/>
                <w:sz w:val="19"/>
              </w:rPr>
              <w:t>Redis stores only expiring progress/control data. Redis loss during a run causes a safe stop and never becomes permanent business storage.</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AC-022</w:t>
            </w:r>
          </w:p>
        </w:tc>
        <w:tc>
          <w:tcPr>
            <w:tcW w:type="dxa" w:w="8260"/>
            <w:tcMar>
              <w:top w:w="80" w:type="dxa"/>
              <w:start w:w="120" w:type="dxa"/>
              <w:bottom w:w="80" w:type="dxa"/>
              <w:end w:w="120" w:type="dxa"/>
            </w:tcMar>
            <w:vAlign w:val="center"/>
          </w:tcPr>
          <w:p>
            <w:pPr>
              <w:pStyle w:val="TableText"/>
            </w:pPr>
            <w:r>
              <w:rPr>
                <w:rFonts w:ascii="Calibri" w:hAnsi="Calibri"/>
                <w:sz w:val="19"/>
              </w:rPr>
              <w:t>Each complete opportunity commits atomically with only its supporting retained sources/signals/patterns; failed or discarded candidates leave no durable processing data.</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AC-023</w:t>
            </w:r>
          </w:p>
        </w:tc>
        <w:tc>
          <w:tcPr>
            <w:tcW w:type="dxa" w:w="8260"/>
            <w:tcMar>
              <w:top w:w="80" w:type="dxa"/>
              <w:start w:w="120" w:type="dxa"/>
              <w:bottom w:w="80" w:type="dxa"/>
              <w:end w:w="120" w:type="dxa"/>
            </w:tcMar>
            <w:vAlign w:val="center"/>
          </w:tcPr>
          <w:p>
            <w:pPr>
              <w:pStyle w:val="TableText"/>
            </w:pPr>
            <w:r>
              <w:rPr>
                <w:rFonts w:ascii="Calibri" w:hAnsi="Calibri"/>
                <w:sz w:val="19"/>
              </w:rPr>
              <w:t>The portfolio supports only an industry filter plus sorting on supported data types and displays the defined current-run and opportunity-detail information.</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AC-024</w:t>
            </w:r>
          </w:p>
        </w:tc>
        <w:tc>
          <w:tcPr>
            <w:tcW w:type="dxa" w:w="8260"/>
            <w:tcMar>
              <w:top w:w="80" w:type="dxa"/>
              <w:start w:w="120" w:type="dxa"/>
              <w:bottom w:w="80" w:type="dxa"/>
              <w:end w:w="120" w:type="dxa"/>
            </w:tcMar>
            <w:vAlign w:val="center"/>
          </w:tcPr>
          <w:p>
            <w:pPr>
              <w:pStyle w:val="TableText"/>
            </w:pPr>
            <w:r>
              <w:rPr>
                <w:rFonts w:ascii="Calibri" w:hAnsi="Calibri"/>
                <w:sz w:val="19"/>
              </w:rPr>
              <w:t>The operator can favorite and note an opportunity, and neither action changes later discovery, scoring, classification, or ranking.</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AC-025</w:t>
            </w:r>
          </w:p>
        </w:tc>
        <w:tc>
          <w:tcPr>
            <w:tcW w:type="dxa" w:w="8260"/>
            <w:tcMar>
              <w:top w:w="80" w:type="dxa"/>
              <w:start w:w="120" w:type="dxa"/>
              <w:bottom w:w="80" w:type="dxa"/>
              <w:end w:w="120" w:type="dxa"/>
            </w:tcMar>
            <w:vAlign w:val="center"/>
          </w:tcPr>
          <w:p>
            <w:pPr>
              <w:pStyle w:val="TableText"/>
            </w:pPr>
            <w:r>
              <w:rPr>
                <w:rFonts w:ascii="Calibri" w:hAnsi="Calibri"/>
                <w:sz w:val="19"/>
              </w:rPr>
              <w:t>Exact normalized identity matches become Rediscovered automatically; strong semantic matches are saved Related with a Possible rediscovery indicator and do not pause the run.</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AC-026</w:t>
            </w:r>
          </w:p>
        </w:tc>
        <w:tc>
          <w:tcPr>
            <w:tcW w:type="dxa" w:w="8260"/>
            <w:tcMar>
              <w:top w:w="80" w:type="dxa"/>
              <w:start w:w="120" w:type="dxa"/>
              <w:bottom w:w="80" w:type="dxa"/>
              <w:end w:w="120" w:type="dxa"/>
            </w:tcMar>
            <w:vAlign w:val="center"/>
          </w:tcPr>
          <w:p>
            <w:pPr>
              <w:pStyle w:val="TableText"/>
            </w:pPr>
            <w:r>
              <w:rPr>
                <w:rFonts w:ascii="Calibri" w:hAnsi="Calibri"/>
                <w:sz w:val="19"/>
              </w:rPr>
              <w:t>Operator-confirmed updates create immutable new versions; favorites and notes remain on the stable opportunity, and older versions remain inspectable.</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AC-027</w:t>
            </w:r>
          </w:p>
        </w:tc>
        <w:tc>
          <w:tcPr>
            <w:tcW w:type="dxa" w:w="8260"/>
            <w:tcMar>
              <w:top w:w="80" w:type="dxa"/>
              <w:start w:w="120" w:type="dxa"/>
              <w:bottom w:w="80" w:type="dxa"/>
              <w:end w:w="120" w:type="dxa"/>
            </w:tcMar>
            <w:vAlign w:val="center"/>
          </w:tcPr>
          <w:p>
            <w:pPr>
              <w:pStyle w:val="TableText"/>
            </w:pPr>
            <w:r>
              <w:rPr>
                <w:rFonts w:ascii="Calibri" w:hAnsi="Calibri"/>
                <w:sz w:val="19"/>
              </w:rPr>
              <w:t>Manual merge preserves both records, marks one merged into the other, combines no scores/reports automatically, and can be reversed.</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AC-028</w:t>
            </w:r>
          </w:p>
        </w:tc>
        <w:tc>
          <w:tcPr>
            <w:tcW w:type="dxa" w:w="8260"/>
            <w:tcMar>
              <w:top w:w="80" w:type="dxa"/>
              <w:start w:w="120" w:type="dxa"/>
              <w:bottom w:w="80" w:type="dxa"/>
              <w:end w:w="120" w:type="dxa"/>
            </w:tcMar>
            <w:vAlign w:val="center"/>
          </w:tcPr>
          <w:p>
            <w:pPr>
              <w:pStyle w:val="TableText"/>
            </w:pPr>
            <w:r>
              <w:rPr>
                <w:rFonts w:ascii="Calibri" w:hAnsi="Calibri"/>
                <w:sz w:val="19"/>
              </w:rPr>
              <w:t>Each opportunity retains no more than its three strongest Related links; exact pgvector cosine search is used and no approximate or Redis vector index exists.</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AC-029</w:t>
            </w:r>
          </w:p>
        </w:tc>
        <w:tc>
          <w:tcPr>
            <w:tcW w:type="dxa" w:w="8260"/>
            <w:tcMar>
              <w:top w:w="80" w:type="dxa"/>
              <w:start w:w="120" w:type="dxa"/>
              <w:bottom w:w="80" w:type="dxa"/>
              <w:end w:w="120" w:type="dxa"/>
            </w:tcMar>
            <w:vAlign w:val="center"/>
          </w:tcPr>
          <w:p>
            <w:pPr>
              <w:pStyle w:val="TableText"/>
            </w:pPr>
            <w:r>
              <w:rPr>
                <w:rFonts w:ascii="Calibri" w:hAnsi="Calibri"/>
                <w:sz w:val="19"/>
              </w:rPr>
              <w:t>Permanent deletion removes the opportunity, versions, relations, favorite, note, and exclusively owned research after confirmation; no deleted-opportunity detail remains.</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AC-030</w:t>
            </w:r>
          </w:p>
        </w:tc>
        <w:tc>
          <w:tcPr>
            <w:tcW w:type="dxa" w:w="8260"/>
            <w:tcMar>
              <w:top w:w="80" w:type="dxa"/>
              <w:start w:w="120" w:type="dxa"/>
              <w:bottom w:w="80" w:type="dxa"/>
              <w:end w:w="120" w:type="dxa"/>
            </w:tcMar>
            <w:vAlign w:val="center"/>
          </w:tcPr>
          <w:p>
            <w:pPr>
              <w:pStyle w:val="TableText"/>
            </w:pPr>
            <w:r>
              <w:rPr>
                <w:rFonts w:ascii="Calibri" w:hAnsi="Calibri"/>
                <w:sz w:val="19"/>
              </w:rPr>
              <w:t>Saved settings validate all user-entered values, apply to future runs, provide no temporary override layer, and can be restored from protected shipped defaults.</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AC-031</w:t>
            </w:r>
          </w:p>
        </w:tc>
        <w:tc>
          <w:tcPr>
            <w:tcW w:type="dxa" w:w="8260"/>
            <w:tcMar>
              <w:top w:w="80" w:type="dxa"/>
              <w:start w:w="120" w:type="dxa"/>
              <w:bottom w:w="80" w:type="dxa"/>
              <w:end w:w="120" w:type="dxa"/>
            </w:tcMar>
            <w:vAlign w:val="center"/>
          </w:tcPr>
          <w:p>
            <w:pPr>
              <w:pStyle w:val="TableText"/>
            </w:pPr>
            <w:r>
              <w:rPr>
                <w:rFonts w:ascii="Calibri" w:hAnsi="Calibri"/>
                <w:sz w:val="19"/>
              </w:rPr>
              <w:t>Terminal cleanup removes pages, extracted text, prompts, raw model responses, retries, weak clusters, rejected concepts, and incomplete candidates; complete webpages are never durable product data.</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AC-032</w:t>
            </w:r>
          </w:p>
        </w:tc>
        <w:tc>
          <w:tcPr>
            <w:tcW w:type="dxa" w:w="8260"/>
            <w:tcMar>
              <w:top w:w="80" w:type="dxa"/>
              <w:start w:w="120" w:type="dxa"/>
              <w:bottom w:w="80" w:type="dxa"/>
              <w:end w:w="120" w:type="dxa"/>
            </w:tcMar>
            <w:vAlign w:val="center"/>
          </w:tcPr>
          <w:p>
            <w:pPr>
              <w:pStyle w:val="TableText"/>
            </w:pPr>
            <w:r>
              <w:rPr>
                <w:rFonts w:ascii="Calibri" w:hAnsi="Calibri"/>
                <w:sz w:val="19"/>
              </w:rPr>
              <w:t>Automated tests run without live internet or GPU by using fake clients and an offline evaluation corpus; live end-to-end model/search tests are documented as manual.</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AC-033</w:t>
            </w:r>
          </w:p>
        </w:tc>
        <w:tc>
          <w:tcPr>
            <w:tcW w:type="dxa" w:w="8260"/>
            <w:tcMar>
              <w:top w:w="80" w:type="dxa"/>
              <w:start w:w="120" w:type="dxa"/>
              <w:bottom w:w="80" w:type="dxa"/>
              <w:end w:w="120" w:type="dxa"/>
            </w:tcMar>
            <w:vAlign w:val="center"/>
          </w:tcPr>
          <w:p>
            <w:pPr>
              <w:pStyle w:val="TableText"/>
            </w:pPr>
            <w:r>
              <w:rPr>
                <w:rFonts w:ascii="Calibri" w:hAnsi="Calibri"/>
                <w:sz w:val="19"/>
              </w:rPr>
              <w:t>At startup, the Fedora launcher reuses compatible model endpoints or starts missing servers with fixed argv and bounded readiness. Failure leaves the UI available with actionable health, blocks research runs, cleans up partial owned startup, and never kills an unknown process; shutdown stops only owned PIDs.</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AC-034</w:t>
            </w:r>
          </w:p>
        </w:tc>
        <w:tc>
          <w:tcPr>
            <w:tcW w:type="dxa" w:w="8260"/>
            <w:tcMar>
              <w:top w:w="80" w:type="dxa"/>
              <w:start w:w="120" w:type="dxa"/>
              <w:bottom w:w="80" w:type="dxa"/>
              <w:end w:w="120" w:type="dxa"/>
            </w:tcMar>
            <w:vAlign w:val="center"/>
          </w:tcPr>
          <w:p>
            <w:pPr>
              <w:pStyle w:val="TableText"/>
            </w:pPr>
            <w:r>
              <w:rPr>
                <w:rFonts w:ascii="Calibri" w:hAnsi="Calibri"/>
                <w:sz w:val="19"/>
              </w:rPr>
              <w:t>With the candidate Phase 7 defaults on the workstation, a documented representative sufficient-evidence run commits at least five distinct evidence-backed opportunities before any work ceiling; deterministic tests prove that automatic exact rediscoveries, Updated versions, and unresolved Possible rediscoveries do not count, any verdict may count for an otherwise complete distinct opportunity, insufficient evidence/pool exhaustion produces no filler and an explicit shortfall, and a later stop, limit, or candidate failure preserves every earlier complete commit.</w:t>
            </w:r>
          </w:p>
        </w:tc>
      </w:tr>
      <w:tr>
        <w:trPr>
          <w:cantSplit w:val="true"/>
        </w:trPr>
        <w:tc>
          <w:tcPr>
            <w:tcW w:type="dxa" w:w="1100"/>
            <w:tcMar>
              <w:top w:w="80" w:type="dxa"/>
              <w:start w:w="120" w:type="dxa"/>
              <w:bottom w:w="80" w:type="dxa"/>
              <w:end w:w="120" w:type="dxa"/>
            </w:tcMar>
            <w:vAlign w:val="center"/>
          </w:tcPr>
          <w:p>
            <w:pPr>
              <w:pStyle w:val="TableText"/>
            </w:pPr>
            <w:r>
              <w:rPr>
                <w:rFonts w:ascii="Calibri" w:hAnsi="Calibri"/>
                <w:sz w:val="19"/>
              </w:rPr>
              <w:t>AC-035</w:t>
            </w:r>
          </w:p>
        </w:tc>
        <w:tc>
          <w:tcPr>
            <w:tcW w:type="dxa" w:w="8260"/>
            <w:tcMar>
              <w:top w:w="80" w:type="dxa"/>
              <w:start w:w="120" w:type="dxa"/>
              <w:bottom w:w="80" w:type="dxa"/>
              <w:end w:w="120" w:type="dxa"/>
            </w:tcMar>
            <w:vAlign w:val="center"/>
          </w:tcPr>
          <w:p>
            <w:pPr>
              <w:pStyle w:val="TableText"/>
            </w:pPr>
            <w:r>
              <w:rPr>
                <w:rFonts w:ascii="Calibri" w:hAnsi="Calibri"/>
                <w:sz w:val="19"/>
              </w:rPr>
              <w:t>Repository, API, frontend, browser, documentation, and compatibility audits prove that every current product-facing identity is Pensae Signal; company-scoped Pensae language, legal attribution, installed-state/package/API/data identifiers, and Phase 0–7 evidence remain unchanged; no workflow, security, topology, data, evidence, retention, lifecycle, recovery, or deletion behavior changes.</w:t>
            </w:r>
          </w:p>
        </w:tc>
      </w:tr>
    </w:tbl>
    <w:p>
      <w:pPr>
        <w:spacing w:after="0" w:line="120" w:lineRule="auto"/>
      </w:pPr>
    </w:p>
    <w:p>
      <w:pPr>
        <w:pStyle w:val="Heading1"/>
        <w:keepNext/>
      </w:pPr>
      <w:r>
        <w:t>18. Testing and evaluation strategy</w:t>
      </w:r>
    </w:p>
    <w:p>
      <w:pPr>
        <w:pStyle w:val="Heading2"/>
        <w:keepNext/>
      </w:pPr>
      <w:r>
        <w:t>18.1 Offline evaluation corpus</w:t>
      </w:r>
    </w:p>
    <w:p>
      <w:r>
        <w:rPr>
          <w:rFonts w:ascii="Calibri" w:hAnsi="Calibri"/>
        </w:rPr>
        <w:t>The repository includes a small legally reusable corpus of public sample excerpts or synthetic fixtures with expected problem signals, roles, workflows, clusters, evidence mappings, duplicate/related decisions, and adverse prompt-injection cases. Model and threshold selection must be evaluated against this corpus before becoming a shipped default.</w:t>
      </w:r>
    </w:p>
    <w:p>
      <w:pPr>
        <w:pStyle w:val="Heading2"/>
        <w:keepNext/>
      </w:pPr>
      <w:r>
        <w:t>18.2 Required test layers</w:t>
      </w:r>
    </w:p>
    <w:p>
      <w:pPr>
        <w:numPr>
          <w:ilvl w:val="0"/>
          <w:numId w:val="10"/>
        </w:numPr>
        <w:spacing w:after="160" w:line="280" w:lineRule="auto"/>
      </w:pPr>
      <w:r>
        <w:rPr>
          <w:rFonts w:ascii="Calibri" w:hAnsi="Calibri"/>
        </w:rPr>
        <w:t>Unit tests for normalization, fingerprints, score arithmetic, evidence gates, deletion, and lifecycle transitions.</w:t>
      </w:r>
    </w:p>
    <w:p>
      <w:pPr>
        <w:numPr>
          <w:ilvl w:val="0"/>
          <w:numId w:val="10"/>
        </w:numPr>
        <w:spacing w:after="160" w:line="280" w:lineRule="auto"/>
      </w:pPr>
      <w:r>
        <w:rPr>
          <w:rFonts w:ascii="Calibri" w:hAnsi="Calibri"/>
        </w:rPr>
        <w:t>Contract and launcher tests for llama.cpp chat/embedding responses, idempotent endpoint reuse, fixed argv, readiness timeout, partial-start cleanup, unknown listeners, owned-only shutdown, SearXNG JSON, Redis events, and PostgreSQL/pgvector behavior.</w:t>
      </w:r>
    </w:p>
    <w:p>
      <w:pPr>
        <w:numPr>
          <w:ilvl w:val="0"/>
          <w:numId w:val="10"/>
        </w:numPr>
        <w:spacing w:after="160" w:line="280" w:lineRule="auto"/>
      </w:pPr>
      <w:r>
        <w:rPr>
          <w:rFonts w:ascii="Calibri" w:hAnsi="Calibri"/>
        </w:rPr>
        <w:t>Graph tests for every route, warning, cancellation checkpoint, limit, repair failure, and terminal cleanup path.</w:t>
      </w:r>
    </w:p>
    <w:p>
      <w:pPr>
        <w:numPr>
          <w:ilvl w:val="0"/>
          <w:numId w:val="10"/>
        </w:numPr>
        <w:spacing w:after="160" w:line="280" w:lineRule="auto"/>
      </w:pPr>
      <w:r>
        <w:rPr>
          <w:rFonts w:ascii="Calibri" w:hAnsi="Calibri"/>
        </w:rPr>
        <w:t>Security tests for SSRF, redirects, DNS rebinding defenses, unsafe content types/sizes, prompt injection, invalid model output, and log redaction.</w:t>
      </w:r>
    </w:p>
    <w:p>
      <w:pPr>
        <w:numPr>
          <w:ilvl w:val="0"/>
          <w:numId w:val="10"/>
        </w:numPr>
        <w:spacing w:after="160" w:line="280" w:lineRule="auto"/>
      </w:pPr>
      <w:r>
        <w:rPr>
          <w:rFonts w:ascii="Calibri" w:hAnsi="Calibri"/>
        </w:rPr>
        <w:t>Migration and transaction tests for version, relation, merge/reversal, orphan cleanup, and partial failure.</w:t>
      </w:r>
    </w:p>
    <w:p>
      <w:pPr>
        <w:numPr>
          <w:ilvl w:val="0"/>
          <w:numId w:val="10"/>
        </w:numPr>
        <w:spacing w:after="160" w:line="280" w:lineRule="auto"/>
      </w:pPr>
      <w:r>
        <w:rPr>
          <w:rFonts w:ascii="Calibri" w:hAnsi="Calibri"/>
        </w:rPr>
        <w:t>Manual live tests for native Linux NVIDIA GPU availability, launcher startup/shutdown ownership, search-engine blocking, source accessibility, local-model quality, threshold calibration, hardware behavior, and portfolio usefulness.</w:t>
      </w:r>
    </w:p>
    <w:p>
      <w:pPr>
        <w:pStyle w:val="Heading1"/>
        <w:keepNext/>
      </w:pPr>
      <w:r>
        <w:t>19. Deployment, repository, and licensing</w:t>
      </w:r>
    </w:p>
    <w:p>
      <w:pPr>
        <w:pStyle w:val="Heading2"/>
        <w:keepNext/>
      </w:pPr>
      <w:r>
        <w:t>19.1 Deployment</w:t>
      </w:r>
    </w:p>
    <w:p>
      <w:pPr>
        <w:numPr>
          <w:ilvl w:val="0"/>
          <w:numId w:val="10"/>
        </w:numPr>
        <w:spacing w:after="160" w:line="280" w:lineRule="auto"/>
      </w:pPr>
      <w:r>
        <w:rPr>
          <w:rFonts w:ascii="Calibri" w:hAnsi="Calibri"/>
        </w:rPr>
        <w:t>Docker Compose manages only PostgreSQL/pgvector, Redis, and SearXNG.</w:t>
      </w:r>
    </w:p>
    <w:p>
      <w:pPr>
        <w:numPr>
          <w:ilvl w:val="0"/>
          <w:numId w:val="10"/>
        </w:numPr>
        <w:spacing w:after="160" w:line="280" w:lineRule="auto"/>
      </w:pPr>
      <w:r>
        <w:rPr>
          <w:rFonts w:ascii="Calibri" w:hAnsi="Calibri"/>
        </w:rPr>
        <w:t>The application and both llama.cpp servers run directly on the native Fedora 44 local workstation, outside Docker Compose. At Pensae Signal startup, the Fedora launcher reuses healthy compatible endpoints or starts the missing servers, waits boundedly for readiness, and stops only processes it created.</w:t>
      </w:r>
    </w:p>
    <w:p>
      <w:pPr>
        <w:numPr>
          <w:ilvl w:val="0"/>
          <w:numId w:val="10"/>
        </w:numPr>
        <w:spacing w:after="160" w:line="280" w:lineRule="auto"/>
      </w:pPr>
      <w:r>
        <w:rPr>
          <w:rFonts w:ascii="Calibri" w:hAnsi="Calibri"/>
        </w:rPr>
        <w:t>The repository pins compatible dependency/image versions, provides database migrations, documents service health checks, and includes a simple infrastructure start/stop command.</w:t>
      </w:r>
    </w:p>
    <w:p>
      <w:pPr>
        <w:numPr>
          <w:ilvl w:val="0"/>
          <w:numId w:val="10"/>
        </w:numPr>
        <w:spacing w:after="160" w:line="280" w:lineRule="auto"/>
      </w:pPr>
      <w:r>
        <w:rPr>
          <w:rFonts w:ascii="Calibri" w:hAnsi="Calibri"/>
        </w:rPr>
        <w:t>The README documents native Fedora 44 and NVIDIA GPU prerequisites, tested hardware profiles, model acquisition, protected launcher configuration, process ownership and recovery, first-run setup, limitations, data locations, and a manual stopped-system backup procedure.</w:t>
      </w:r>
    </w:p>
    <w:p>
      <w:pPr>
        <w:numPr>
          <w:ilvl w:val="0"/>
          <w:numId w:val="10"/>
        </w:numPr>
        <w:spacing w:after="160" w:line="280" w:lineRule="auto"/>
      </w:pPr>
      <w:r>
        <w:rPr>
          <w:rFonts w:ascii="Calibri" w:hAnsi="Calibri"/>
        </w:rPr>
        <w:t>CI uses deterministic fakes and does not download models, require internet, or require a GPU.</w:t>
      </w:r>
    </w:p>
    <w:p>
      <w:pPr>
        <w:pStyle w:val="Heading2"/>
        <w:keepNext/>
      </w:pPr>
      <w:r>
        <w:t>19.2 Open-source packaging</w:t>
      </w:r>
    </w:p>
    <w:p>
      <w:r>
        <w:rPr>
          <w:rFonts w:ascii="Calibri" w:hAnsi="Calibri"/>
        </w:rPr>
        <w:t>Pensae Signal code must have an explicit open-source license before GitHub publication. External services remain separately packaged, unmodified dependencies rather than vendored source. The repository includes a dependency-notice file, preserves required notices, records image versions, and directs users to current upstream licenses. Model licenses are reviewed separately and model weights are not redistributed.</w:t>
      </w:r>
    </w:p>
    <w:p>
      <w:r>
        <w:rPr>
          <w:rFonts w:ascii="Calibri" w:hAnsi="Calibri"/>
        </w:rPr>
        <w:t>Current dependency-license choices must be rechecked at release time, especially SearXNG and Redis. This requirement is a packaging control, not legal advice.</w:t>
      </w:r>
    </w:p>
    <w:p>
      <w:pPr>
        <w:pStyle w:val="Heading1"/>
        <w:keepNext/>
      </w:pPr>
      <w:r>
        <w:t>20. Delivery estimate and scope control</w:t>
      </w:r>
    </w:p>
    <w:p>
      <w:r>
        <w:rPr>
          <w:rFonts w:ascii="Calibri" w:hAnsi="Calibri"/>
        </w:rPr>
        <w:t>Planning estimate with three to four coordinated Codex implementation threads and daily operator review: 4-6 calendar weeks for a tested portfolio-ready prototype, with a first end-to-end slice expected in approximately 2-3 weeks. Expected non-generated source size is approximately 12,000-18,000 lines including automated tests. These are planning ranges, not delivery commitments.</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50"/>
        <w:gridCol w:w="5310"/>
        <w:gridCol w:w="1700"/>
      </w:tblGrid>
      <w:tr>
        <w:trPr>
          <w:tblHeader w:val="true"/>
          <w:cantSplit w:val="true"/>
        </w:trPr>
        <w:tc>
          <w:tcPr>
            <w:tcW w:type="dxa" w:w="2350"/>
            <w:tcMar>
              <w:top w:w="80" w:type="dxa"/>
              <w:start w:w="120" w:type="dxa"/>
              <w:bottom w:w="80" w:type="dxa"/>
              <w:end w:w="120" w:type="dxa"/>
            </w:tcMar>
            <w:vAlign w:val="center"/>
            <w:shd w:fill="F2F4F7"/>
          </w:tcPr>
          <w:p>
            <w:pPr>
              <w:pStyle w:val="TableText"/>
              <w:keepNext/>
            </w:pPr>
            <w:r>
              <w:rPr>
                <w:rFonts w:ascii="Calibri" w:hAnsi="Calibri"/>
                <w:b/>
                <w:color w:val="0B2545"/>
                <w:sz w:val="19"/>
              </w:rPr>
              <w:t>Phase</w:t>
            </w:r>
          </w:p>
        </w:tc>
        <w:tc>
          <w:tcPr>
            <w:tcW w:type="dxa" w:w="5310"/>
            <w:tcMar>
              <w:top w:w="80" w:type="dxa"/>
              <w:start w:w="120" w:type="dxa"/>
              <w:bottom w:w="80" w:type="dxa"/>
              <w:end w:w="120" w:type="dxa"/>
            </w:tcMar>
            <w:vAlign w:val="center"/>
            <w:shd w:fill="F2F4F7"/>
          </w:tcPr>
          <w:p>
            <w:pPr>
              <w:pStyle w:val="TableText"/>
              <w:keepNext/>
            </w:pPr>
            <w:r>
              <w:rPr>
                <w:rFonts w:ascii="Calibri" w:hAnsi="Calibri"/>
                <w:b/>
                <w:color w:val="0B2545"/>
                <w:sz w:val="19"/>
              </w:rPr>
              <w:t>Outcome</w:t>
            </w:r>
          </w:p>
        </w:tc>
        <w:tc>
          <w:tcPr>
            <w:tcW w:type="dxa" w:w="1700"/>
            <w:tcMar>
              <w:top w:w="80" w:type="dxa"/>
              <w:start w:w="120" w:type="dxa"/>
              <w:bottom w:w="80" w:type="dxa"/>
              <w:end w:w="120" w:type="dxa"/>
            </w:tcMar>
            <w:vAlign w:val="center"/>
            <w:shd w:fill="F2F4F7"/>
          </w:tcPr>
          <w:p>
            <w:pPr>
              <w:pStyle w:val="TableText"/>
              <w:keepNext/>
            </w:pPr>
            <w:r>
              <w:rPr>
                <w:rFonts w:ascii="Calibri" w:hAnsi="Calibri"/>
                <w:b/>
                <w:color w:val="0B2545"/>
                <w:sz w:val="19"/>
              </w:rPr>
              <w:t>Indicative elapsed time</w:t>
            </w:r>
          </w:p>
        </w:tc>
      </w:tr>
      <w:tr>
        <w:trPr>
          <w:cantSplit w:val="true"/>
        </w:trPr>
        <w:tc>
          <w:tcPr>
            <w:tcW w:type="dxa" w:w="2350"/>
            <w:tcMar>
              <w:top w:w="80" w:type="dxa"/>
              <w:start w:w="120" w:type="dxa"/>
              <w:bottom w:w="80" w:type="dxa"/>
              <w:end w:w="120" w:type="dxa"/>
            </w:tcMar>
            <w:vAlign w:val="center"/>
          </w:tcPr>
          <w:p>
            <w:pPr>
              <w:pStyle w:val="TableText"/>
            </w:pPr>
            <w:r>
              <w:rPr>
                <w:rFonts w:ascii="Calibri" w:hAnsi="Calibri"/>
                <w:sz w:val="19"/>
              </w:rPr>
              <w:t>1. Foundation and vertical slice</w:t>
            </w:r>
          </w:p>
        </w:tc>
        <w:tc>
          <w:tcPr>
            <w:tcW w:type="dxa" w:w="5310"/>
            <w:tcMar>
              <w:top w:w="80" w:type="dxa"/>
              <w:start w:w="120" w:type="dxa"/>
              <w:bottom w:w="80" w:type="dxa"/>
              <w:end w:w="120" w:type="dxa"/>
            </w:tcMar>
            <w:vAlign w:val="center"/>
          </w:tcPr>
          <w:p>
            <w:pPr>
              <w:pStyle w:val="TableText"/>
            </w:pPr>
            <w:r>
              <w:rPr>
                <w:rFonts w:ascii="Calibri" w:hAnsi="Calibri"/>
                <w:sz w:val="19"/>
              </w:rPr>
              <w:t>Repository, migrations, Docker infrastructure, local endpoints, one graph path from source to one committed opportunity, and fake-client tests.</w:t>
            </w:r>
          </w:p>
        </w:tc>
        <w:tc>
          <w:tcPr>
            <w:tcW w:type="dxa" w:w="1700"/>
            <w:tcMar>
              <w:top w:w="80" w:type="dxa"/>
              <w:start w:w="120" w:type="dxa"/>
              <w:bottom w:w="80" w:type="dxa"/>
              <w:end w:w="120" w:type="dxa"/>
            </w:tcMar>
            <w:vAlign w:val="center"/>
          </w:tcPr>
          <w:p>
            <w:pPr>
              <w:pStyle w:val="TableText"/>
            </w:pPr>
            <w:r>
              <w:rPr>
                <w:rFonts w:ascii="Calibri" w:hAnsi="Calibri"/>
                <w:sz w:val="19"/>
              </w:rPr>
              <w:t>1-2 weeks</w:t>
            </w:r>
          </w:p>
        </w:tc>
      </w:tr>
      <w:tr>
        <w:trPr>
          <w:cantSplit w:val="true"/>
        </w:trPr>
        <w:tc>
          <w:tcPr>
            <w:tcW w:type="dxa" w:w="2350"/>
            <w:tcMar>
              <w:top w:w="80" w:type="dxa"/>
              <w:start w:w="120" w:type="dxa"/>
              <w:bottom w:w="80" w:type="dxa"/>
              <w:end w:w="120" w:type="dxa"/>
            </w:tcMar>
            <w:vAlign w:val="center"/>
          </w:tcPr>
          <w:p>
            <w:pPr>
              <w:pStyle w:val="TableText"/>
            </w:pPr>
            <w:r>
              <w:rPr>
                <w:rFonts w:ascii="Calibri" w:hAnsi="Calibri"/>
                <w:sz w:val="19"/>
              </w:rPr>
              <w:t>2. Complete prototype workflow</w:t>
            </w:r>
          </w:p>
        </w:tc>
        <w:tc>
          <w:tcPr>
            <w:tcW w:type="dxa" w:w="5310"/>
            <w:tcMar>
              <w:top w:w="80" w:type="dxa"/>
              <w:start w:w="120" w:type="dxa"/>
              <w:bottom w:w="80" w:type="dxa"/>
              <w:end w:w="120" w:type="dxa"/>
            </w:tcMar>
            <w:vAlign w:val="center"/>
          </w:tcPr>
          <w:p>
            <w:pPr>
              <w:pStyle w:val="TableText"/>
            </w:pPr>
            <w:r>
              <w:rPr>
                <w:rFonts w:ascii="Calibri" w:hAnsi="Calibri"/>
                <w:sz w:val="19"/>
              </w:rPr>
              <w:t>Four roles, two-pass funnel, evidence gates, portfolio UI, Redis progress/Stop, pgvector relations, settings, and cleanup.</w:t>
            </w:r>
          </w:p>
        </w:tc>
        <w:tc>
          <w:tcPr>
            <w:tcW w:type="dxa" w:w="1700"/>
            <w:tcMar>
              <w:top w:w="80" w:type="dxa"/>
              <w:start w:w="120" w:type="dxa"/>
              <w:bottom w:w="80" w:type="dxa"/>
              <w:end w:w="120" w:type="dxa"/>
            </w:tcMar>
            <w:vAlign w:val="center"/>
          </w:tcPr>
          <w:p>
            <w:pPr>
              <w:pStyle w:val="TableText"/>
            </w:pPr>
            <w:r>
              <w:rPr>
                <w:rFonts w:ascii="Calibri" w:hAnsi="Calibri"/>
                <w:sz w:val="19"/>
              </w:rPr>
              <w:t>1-2 weeks</w:t>
            </w:r>
          </w:p>
        </w:tc>
      </w:tr>
      <w:tr>
        <w:trPr>
          <w:cantSplit w:val="true"/>
        </w:trPr>
        <w:tc>
          <w:tcPr>
            <w:tcW w:type="dxa" w:w="2350"/>
            <w:tcMar>
              <w:top w:w="80" w:type="dxa"/>
              <w:start w:w="120" w:type="dxa"/>
              <w:bottom w:w="80" w:type="dxa"/>
              <w:end w:w="120" w:type="dxa"/>
            </w:tcMar>
            <w:vAlign w:val="center"/>
          </w:tcPr>
          <w:p>
            <w:pPr>
              <w:pStyle w:val="TableText"/>
            </w:pPr>
            <w:r>
              <w:rPr>
                <w:rFonts w:ascii="Calibri" w:hAnsi="Calibri"/>
                <w:sz w:val="19"/>
              </w:rPr>
              <w:t>3. Lifecycle and stabilization</w:t>
            </w:r>
          </w:p>
        </w:tc>
        <w:tc>
          <w:tcPr>
            <w:tcW w:type="dxa" w:w="5310"/>
            <w:tcMar>
              <w:top w:w="80" w:type="dxa"/>
              <w:start w:w="120" w:type="dxa"/>
              <w:bottom w:w="80" w:type="dxa"/>
              <w:end w:w="120" w:type="dxa"/>
            </w:tcMar>
            <w:vAlign w:val="center"/>
          </w:tcPr>
          <w:p>
            <w:pPr>
              <w:pStyle w:val="TableText"/>
            </w:pPr>
            <w:r>
              <w:rPr>
                <w:rFonts w:ascii="Calibri" w:hAnsi="Calibri"/>
                <w:sz w:val="19"/>
              </w:rPr>
              <w:t>Versions, rediscovery/update, reversible merge, deletion, security/failure tests, evaluation corpus, documentation, and portfolio polish.</w:t>
            </w:r>
          </w:p>
        </w:tc>
        <w:tc>
          <w:tcPr>
            <w:tcW w:type="dxa" w:w="1700"/>
            <w:tcMar>
              <w:top w:w="80" w:type="dxa"/>
              <w:start w:w="120" w:type="dxa"/>
              <w:bottom w:w="80" w:type="dxa"/>
              <w:end w:w="120" w:type="dxa"/>
            </w:tcMar>
            <w:vAlign w:val="center"/>
          </w:tcPr>
          <w:p>
            <w:pPr>
              <w:pStyle w:val="TableText"/>
            </w:pPr>
            <w:r>
              <w:rPr>
                <w:rFonts w:ascii="Calibri" w:hAnsi="Calibri"/>
                <w:sz w:val="19"/>
              </w:rPr>
              <w:t>1-2 weeks</w:t>
            </w:r>
          </w:p>
        </w:tc>
      </w:tr>
    </w:tbl>
    <w:p>
      <w:pPr>
        <w:spacing w:after="0" w:line="120" w:lineRule="auto"/>
      </w:pPr>
    </w:p>
    <w:p>
      <w:r>
        <w:rPr>
          <w:rFonts w:ascii="Calibri" w:hAnsi="Calibri"/>
        </w:rPr>
        <w:t>Scope rule: a feature must directly improve opportunity quality, evidence integrity, safe local operation, one selected learning objective, or the clarity of the public portfolio. Otherwise it remains deferred.</w:t>
      </w:r>
    </w:p>
    <w:p>
      <w:pPr>
        <w:pStyle w:val="Heading1"/>
        <w:keepNext/>
      </w:pPr>
      <w:r>
        <w:t>21. Principal risks and mitigations</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550"/>
        <w:gridCol w:w="5810"/>
      </w:tblGrid>
      <w:tr>
        <w:trPr>
          <w:tblHeader w:val="true"/>
          <w:cantSplit w:val="true"/>
        </w:trPr>
        <w:tc>
          <w:tcPr>
            <w:tcW w:type="dxa" w:w="3550"/>
            <w:tcMar>
              <w:top w:w="80" w:type="dxa"/>
              <w:start w:w="120" w:type="dxa"/>
              <w:bottom w:w="80" w:type="dxa"/>
              <w:end w:w="120" w:type="dxa"/>
            </w:tcMar>
            <w:vAlign w:val="center"/>
            <w:shd w:fill="F2F4F7"/>
          </w:tcPr>
          <w:p>
            <w:pPr>
              <w:pStyle w:val="TableText"/>
              <w:keepNext/>
            </w:pPr>
            <w:r>
              <w:rPr>
                <w:rFonts w:ascii="Calibri" w:hAnsi="Calibri"/>
                <w:b/>
                <w:color w:val="0B2545"/>
                <w:sz w:val="19"/>
              </w:rPr>
              <w:t>Risk</w:t>
            </w:r>
          </w:p>
        </w:tc>
        <w:tc>
          <w:tcPr>
            <w:tcW w:type="dxa" w:w="5810"/>
            <w:tcMar>
              <w:top w:w="80" w:type="dxa"/>
              <w:start w:w="120" w:type="dxa"/>
              <w:bottom w:w="80" w:type="dxa"/>
              <w:end w:w="120" w:type="dxa"/>
            </w:tcMar>
            <w:vAlign w:val="center"/>
            <w:shd w:fill="F2F4F7"/>
          </w:tcPr>
          <w:p>
            <w:pPr>
              <w:pStyle w:val="TableText"/>
              <w:keepNext/>
            </w:pPr>
            <w:r>
              <w:rPr>
                <w:rFonts w:ascii="Calibri" w:hAnsi="Calibri"/>
                <w:b/>
                <w:color w:val="0B2545"/>
                <w:sz w:val="19"/>
              </w:rPr>
              <w:t>Mitigation</w:t>
            </w:r>
          </w:p>
        </w:tc>
      </w:tr>
      <w:tr>
        <w:trPr>
          <w:cantSplit w:val="true"/>
        </w:trPr>
        <w:tc>
          <w:tcPr>
            <w:tcW w:type="dxa" w:w="3550"/>
            <w:tcMar>
              <w:top w:w="80" w:type="dxa"/>
              <w:start w:w="120" w:type="dxa"/>
              <w:bottom w:w="80" w:type="dxa"/>
              <w:end w:w="120" w:type="dxa"/>
            </w:tcMar>
            <w:vAlign w:val="center"/>
          </w:tcPr>
          <w:p>
            <w:pPr>
              <w:pStyle w:val="TableText"/>
            </w:pPr>
            <w:r>
              <w:rPr>
                <w:rFonts w:ascii="Calibri" w:hAnsi="Calibri"/>
                <w:sz w:val="19"/>
              </w:rPr>
              <w:t>Local model produces weak or invalid structured analysis</w:t>
            </w:r>
          </w:p>
        </w:tc>
        <w:tc>
          <w:tcPr>
            <w:tcW w:type="dxa" w:w="5810"/>
            <w:tcMar>
              <w:top w:w="80" w:type="dxa"/>
              <w:start w:w="120" w:type="dxa"/>
              <w:bottom w:w="80" w:type="dxa"/>
              <w:end w:w="120" w:type="dxa"/>
            </w:tcMar>
            <w:vAlign w:val="center"/>
          </w:tcPr>
          <w:p>
            <w:pPr>
              <w:pStyle w:val="TableText"/>
            </w:pPr>
            <w:r>
              <w:rPr>
                <w:rFonts w:ascii="Calibri" w:hAnsi="Calibri"/>
                <w:sz w:val="19"/>
              </w:rPr>
              <w:t>Capability-based model selection, schema constraints, one repair attempt, offline corpus, low-temperature analytical roles, and discard-on-failure.</w:t>
            </w:r>
          </w:p>
        </w:tc>
      </w:tr>
      <w:tr>
        <w:trPr>
          <w:cantSplit w:val="true"/>
        </w:trPr>
        <w:tc>
          <w:tcPr>
            <w:tcW w:type="dxa" w:w="3550"/>
            <w:tcMar>
              <w:top w:w="80" w:type="dxa"/>
              <w:start w:w="120" w:type="dxa"/>
              <w:bottom w:w="80" w:type="dxa"/>
              <w:end w:w="120" w:type="dxa"/>
            </w:tcMar>
            <w:vAlign w:val="center"/>
          </w:tcPr>
          <w:p>
            <w:pPr>
              <w:pStyle w:val="TableText"/>
            </w:pPr>
            <w:r>
              <w:rPr>
                <w:rFonts w:ascii="Calibri" w:hAnsi="Calibri"/>
                <w:sz w:val="19"/>
              </w:rPr>
              <w:t>SearXNG engines block or degrade</w:t>
            </w:r>
          </w:p>
        </w:tc>
        <w:tc>
          <w:tcPr>
            <w:tcW w:type="dxa" w:w="5810"/>
            <w:tcMar>
              <w:top w:w="80" w:type="dxa"/>
              <w:start w:w="120" w:type="dxa"/>
              <w:bottom w:w="80" w:type="dxa"/>
              <w:end w:w="120" w:type="dxa"/>
            </w:tcMar>
            <w:vAlign w:val="center"/>
          </w:tcPr>
          <w:p>
            <w:pPr>
              <w:pStyle w:val="TableText"/>
            </w:pPr>
            <w:r>
              <w:rPr>
                <w:rFonts w:ascii="Calibri" w:hAnsi="Calibri"/>
                <w:sz w:val="19"/>
              </w:rPr>
              <w:t>Small tested engine set, conservative pacing/concurrency, warnings, source-diversity gates, no unsupported fallback claims, and manual engine calibration.</w:t>
            </w:r>
          </w:p>
        </w:tc>
      </w:tr>
      <w:tr>
        <w:trPr>
          <w:cantSplit w:val="true"/>
        </w:trPr>
        <w:tc>
          <w:tcPr>
            <w:tcW w:type="dxa" w:w="3550"/>
            <w:tcMar>
              <w:top w:w="80" w:type="dxa"/>
              <w:start w:w="120" w:type="dxa"/>
              <w:bottom w:w="80" w:type="dxa"/>
              <w:end w:w="120" w:type="dxa"/>
            </w:tcMar>
            <w:vAlign w:val="center"/>
          </w:tcPr>
          <w:p>
            <w:pPr>
              <w:pStyle w:val="TableText"/>
            </w:pPr>
            <w:r>
              <w:rPr>
                <w:rFonts w:ascii="Calibri" w:hAnsi="Calibri"/>
                <w:sz w:val="19"/>
              </w:rPr>
              <w:t>Generic horizontal concepts lack a buyer</w:t>
            </w:r>
          </w:p>
        </w:tc>
        <w:tc>
          <w:tcPr>
            <w:tcW w:type="dxa" w:w="5810"/>
            <w:tcMar>
              <w:top w:w="80" w:type="dxa"/>
              <w:start w:w="120" w:type="dxa"/>
              <w:bottom w:w="80" w:type="dxa"/>
              <w:end w:w="120" w:type="dxa"/>
            </w:tcMar>
            <w:vAlign w:val="center"/>
          </w:tcPr>
          <w:p>
            <w:pPr>
              <w:pStyle w:val="TableText"/>
            </w:pPr>
            <w:r>
              <w:rPr>
                <w:rFonts w:ascii="Calibri" w:hAnsi="Calibri"/>
                <w:sz w:val="19"/>
              </w:rPr>
              <w:t>Segment mapping and preliminary problem/buyer gate occur before complete product design.</w:t>
            </w:r>
          </w:p>
        </w:tc>
      </w:tr>
      <w:tr>
        <w:trPr>
          <w:cantSplit w:val="true"/>
        </w:trPr>
        <w:tc>
          <w:tcPr>
            <w:tcW w:type="dxa" w:w="3550"/>
            <w:tcMar>
              <w:top w:w="80" w:type="dxa"/>
              <w:start w:w="120" w:type="dxa"/>
              <w:bottom w:w="80" w:type="dxa"/>
              <w:end w:w="120" w:type="dxa"/>
            </w:tcMar>
            <w:vAlign w:val="center"/>
          </w:tcPr>
          <w:p>
            <w:pPr>
              <w:pStyle w:val="TableText"/>
            </w:pPr>
            <w:r>
              <w:rPr>
                <w:rFonts w:ascii="Calibri" w:hAnsi="Calibri"/>
                <w:sz w:val="19"/>
              </w:rPr>
              <w:t>Research funnel expands combinatorially</w:t>
            </w:r>
          </w:p>
        </w:tc>
        <w:tc>
          <w:tcPr>
            <w:tcW w:type="dxa" w:w="5810"/>
            <w:tcMar>
              <w:top w:w="80" w:type="dxa"/>
              <w:start w:w="120" w:type="dxa"/>
              <w:bottom w:w="80" w:type="dxa"/>
              <w:end w:w="120" w:type="dxa"/>
            </w:tcMar>
            <w:vAlign w:val="center"/>
          </w:tcPr>
          <w:p>
            <w:pPr>
              <w:pStyle w:val="TableText"/>
            </w:pPr>
            <w:r>
              <w:rPr>
                <w:rFonts w:ascii="Calibri" w:hAnsi="Calibri"/>
                <w:sz w:val="19"/>
              </w:rPr>
              <w:t>Fixed stage bounds, deterministic ranking, preliminary discard gate, sequential candidate evaluation, protected finalization reserve, per-candidate admission checks, atomic commits, and complete token/work counters.</w:t>
            </w:r>
          </w:p>
        </w:tc>
      </w:tr>
      <w:tr>
        <w:trPr>
          <w:cantSplit w:val="true"/>
        </w:trPr>
        <w:tc>
          <w:tcPr>
            <w:tcW w:type="dxa" w:w="3550"/>
            <w:tcMar>
              <w:top w:w="80" w:type="dxa"/>
              <w:start w:w="120" w:type="dxa"/>
              <w:bottom w:w="80" w:type="dxa"/>
              <w:end w:w="120" w:type="dxa"/>
            </w:tcMar>
            <w:vAlign w:val="center"/>
          </w:tcPr>
          <w:p>
            <w:pPr>
              <w:pStyle w:val="TableText"/>
            </w:pPr>
            <w:r>
              <w:rPr>
                <w:rFonts w:ascii="Calibri" w:hAnsi="Calibri"/>
                <w:sz w:val="19"/>
              </w:rPr>
              <w:t>Web prompt injection changes agent behavior</w:t>
            </w:r>
          </w:p>
        </w:tc>
        <w:tc>
          <w:tcPr>
            <w:tcW w:type="dxa" w:w="5810"/>
            <w:tcMar>
              <w:top w:w="80" w:type="dxa"/>
              <w:start w:w="120" w:type="dxa"/>
              <w:bottom w:w="80" w:type="dxa"/>
              <w:end w:w="120" w:type="dxa"/>
            </w:tcMar>
            <w:vAlign w:val="center"/>
          </w:tcPr>
          <w:p>
            <w:pPr>
              <w:pStyle w:val="TableText"/>
            </w:pPr>
            <w:r>
              <w:rPr>
                <w:rFonts w:ascii="Calibri" w:hAnsi="Calibri"/>
                <w:sz w:val="19"/>
              </w:rPr>
              <w:t>Restricted tools, explicit data delimiters, untrusted-content policy, schema validation, deterministic routing, and no direct database/network access from agents.</w:t>
            </w:r>
          </w:p>
        </w:tc>
      </w:tr>
      <w:tr>
        <w:trPr>
          <w:cantSplit w:val="true"/>
        </w:trPr>
        <w:tc>
          <w:tcPr>
            <w:tcW w:type="dxa" w:w="3550"/>
            <w:tcMar>
              <w:top w:w="80" w:type="dxa"/>
              <w:start w:w="120" w:type="dxa"/>
              <w:bottom w:w="80" w:type="dxa"/>
              <w:end w:w="120" w:type="dxa"/>
            </w:tcMar>
            <w:vAlign w:val="center"/>
          </w:tcPr>
          <w:p>
            <w:pPr>
              <w:pStyle w:val="TableText"/>
            </w:pPr>
            <w:r>
              <w:rPr>
                <w:rFonts w:ascii="Calibri" w:hAnsi="Calibri"/>
                <w:sz w:val="19"/>
              </w:rPr>
              <w:t>Similarity creates false duplicates</w:t>
            </w:r>
          </w:p>
        </w:tc>
        <w:tc>
          <w:tcPr>
            <w:tcW w:type="dxa" w:w="5810"/>
            <w:tcMar>
              <w:top w:w="80" w:type="dxa"/>
              <w:start w:w="120" w:type="dxa"/>
              <w:bottom w:w="80" w:type="dxa"/>
              <w:end w:w="120" w:type="dxa"/>
            </w:tcMar>
            <w:vAlign w:val="center"/>
          </w:tcPr>
          <w:p>
            <w:pPr>
              <w:pStyle w:val="TableText"/>
            </w:pPr>
            <w:r>
              <w:rPr>
                <w:rFonts w:ascii="Calibri" w:hAnsi="Calibri"/>
                <w:sz w:val="19"/>
              </w:rPr>
              <w:t>Exact fingerprints only for automatic rediscovery; semantic matches remain Related until operator confirmation; merges are manual and reversible.</w:t>
            </w:r>
          </w:p>
        </w:tc>
      </w:tr>
      <w:tr>
        <w:trPr>
          <w:cantSplit w:val="true"/>
        </w:trPr>
        <w:tc>
          <w:tcPr>
            <w:tcW w:type="dxa" w:w="3550"/>
            <w:tcMar>
              <w:top w:w="80" w:type="dxa"/>
              <w:start w:w="120" w:type="dxa"/>
              <w:bottom w:w="80" w:type="dxa"/>
              <w:end w:w="120" w:type="dxa"/>
            </w:tcMar>
            <w:vAlign w:val="center"/>
          </w:tcPr>
          <w:p>
            <w:pPr>
              <w:pStyle w:val="TableText"/>
            </w:pPr>
            <w:r>
              <w:rPr>
                <w:rFonts w:ascii="Calibri" w:hAnsi="Calibri"/>
                <w:sz w:val="19"/>
              </w:rPr>
              <w:t>Cancellation leaves inconsistent data</w:t>
            </w:r>
          </w:p>
        </w:tc>
        <w:tc>
          <w:tcPr>
            <w:tcW w:type="dxa" w:w="5810"/>
            <w:tcMar>
              <w:top w:w="80" w:type="dxa"/>
              <w:start w:w="120" w:type="dxa"/>
              <w:bottom w:w="80" w:type="dxa"/>
              <w:end w:w="120" w:type="dxa"/>
            </w:tcMar>
            <w:vAlign w:val="center"/>
          </w:tcPr>
          <w:p>
            <w:pPr>
              <w:pStyle w:val="TableText"/>
            </w:pPr>
            <w:r>
              <w:rPr>
                <w:rFonts w:ascii="Calibri" w:hAnsi="Calibri"/>
                <w:sz w:val="19"/>
              </w:rPr>
              <w:t>Redis cooperative flag, pre-call checkpoints, per-operation timeouts, atomic opportunity commits, and terminal cleanup.</w:t>
            </w:r>
          </w:p>
        </w:tc>
      </w:tr>
      <w:tr>
        <w:trPr>
          <w:cantSplit w:val="true"/>
        </w:trPr>
        <w:tc>
          <w:tcPr>
            <w:tcW w:type="dxa" w:w="3550"/>
            <w:tcMar>
              <w:top w:w="80" w:type="dxa"/>
              <w:start w:w="120" w:type="dxa"/>
              <w:bottom w:w="80" w:type="dxa"/>
              <w:end w:w="120" w:type="dxa"/>
            </w:tcMar>
            <w:vAlign w:val="center"/>
          </w:tcPr>
          <w:p>
            <w:pPr>
              <w:pStyle w:val="TableText"/>
            </w:pPr>
            <w:r>
              <w:rPr>
                <w:rFonts w:ascii="Calibri" w:hAnsi="Calibri"/>
                <w:sz w:val="19"/>
              </w:rPr>
              <w:t>Portfolio dependency licenses or model terms are misunderstood</w:t>
            </w:r>
          </w:p>
        </w:tc>
        <w:tc>
          <w:tcPr>
            <w:tcW w:type="dxa" w:w="5810"/>
            <w:tcMar>
              <w:top w:w="80" w:type="dxa"/>
              <w:start w:w="120" w:type="dxa"/>
              <w:bottom w:w="80" w:type="dxa"/>
              <w:end w:w="120" w:type="dxa"/>
            </w:tcMar>
            <w:vAlign w:val="center"/>
          </w:tcPr>
          <w:p>
            <w:pPr>
              <w:pStyle w:val="TableText"/>
            </w:pPr>
            <w:r>
              <w:rPr>
                <w:rFonts w:ascii="Calibri" w:hAnsi="Calibri"/>
                <w:sz w:val="19"/>
              </w:rPr>
              <w:t>Separate services, no vendored/modified dependency source, dependency notices, no model redistribution, pinned versions, and release-time review.</w:t>
            </w:r>
          </w:p>
        </w:tc>
      </w:tr>
      <w:tr>
        <w:trPr>
          <w:cantSplit w:val="true"/>
        </w:trPr>
        <w:tc>
          <w:tcPr>
            <w:tcW w:type="dxa" w:w="3550"/>
            <w:tcMar>
              <w:top w:w="80" w:type="dxa"/>
              <w:start w:w="120" w:type="dxa"/>
              <w:bottom w:w="80" w:type="dxa"/>
              <w:end w:w="120" w:type="dxa"/>
            </w:tcMar>
            <w:vAlign w:val="center"/>
          </w:tcPr>
          <w:p>
            <w:pPr>
              <w:pStyle w:val="TableText"/>
            </w:pPr>
            <w:r>
              <w:rPr>
                <w:rFonts w:ascii="Calibri" w:hAnsi="Calibri"/>
                <w:sz w:val="19"/>
              </w:rPr>
              <w:t>Native Linux GPU or llama.cpp runtime mismatch</w:t>
            </w:r>
          </w:p>
        </w:tc>
        <w:tc>
          <w:tcPr>
            <w:tcW w:type="dxa" w:w="5810"/>
            <w:tcMar>
              <w:top w:w="80" w:type="dxa"/>
              <w:start w:w="120" w:type="dxa"/>
              <w:bottom w:w="80" w:type="dxa"/>
              <w:end w:w="120" w:type="dxa"/>
            </w:tcMar>
            <w:vAlign w:val="center"/>
          </w:tcPr>
          <w:p>
            <w:pPr>
              <w:pStyle w:val="TableText"/>
            </w:pPr>
            <w:r>
              <w:rPr>
                <w:rFonts w:ascii="Calibri" w:hAnsi="Calibri"/>
                <w:sz w:val="19"/>
              </w:rPr>
              <w:t>Pin and record the tested Fedora kernel, NVIDIA driver, native runtime environment, llama.cpp build, and model identifiers; use bounded launcher readiness checks, verify endpoint capabilities, and perform a manual GPU smoke test before release.</w:t>
            </w:r>
          </w:p>
        </w:tc>
      </w:tr>
      <w:tr>
        <w:trPr>
          <w:cantSplit w:val="true"/>
        </w:trPr>
        <w:tc>
          <w:tcPr>
            <w:tcW w:type="dxa" w:w="3550"/>
            <w:tcMar>
              <w:top w:w="80" w:type="dxa"/>
              <w:start w:w="120" w:type="dxa"/>
              <w:bottom w:w="80" w:type="dxa"/>
              <w:end w:w="120" w:type="dxa"/>
            </w:tcMar>
            <w:vAlign w:val="center"/>
          </w:tcPr>
          <w:p>
            <w:pPr>
              <w:pStyle w:val="TableText"/>
            </w:pPr>
            <w:r>
              <w:rPr>
                <w:rFonts w:ascii="Calibri" w:hAnsi="Calibri"/>
                <w:sz w:val="19"/>
              </w:rPr>
              <w:t>A numeric target encourages weak or duplicate filler</w:t>
            </w:r>
          </w:p>
        </w:tc>
        <w:tc>
          <w:tcPr>
            <w:tcW w:type="dxa" w:w="5810"/>
            <w:tcMar>
              <w:top w:w="80" w:type="dxa"/>
              <w:start w:w="120" w:type="dxa"/>
              <w:bottom w:w="80" w:type="dxa"/>
              <w:end w:w="120" w:type="dxa"/>
            </w:tcMar>
            <w:vAlign w:val="center"/>
          </w:tcPr>
          <w:p>
            <w:pPr>
              <w:pStyle w:val="TableText"/>
            </w:pPr>
            <w:r>
              <w:rPr>
                <w:rFonts w:ascii="Calibri" w:hAnsi="Calibri"/>
                <w:sz w:val="19"/>
              </w:rPr>
              <w:t>Five is a bounded target, never a quality override. Schema/evidence gates remain unchanged; automatic exact rediscoveries do not count; pool exhaustion completes with warnings and a specific shortfall reason.</w:t>
            </w:r>
          </w:p>
        </w:tc>
      </w:tr>
    </w:tbl>
    <w:p>
      <w:pPr>
        <w:spacing w:after="0" w:line="120" w:lineRule="auto"/>
      </w:pPr>
    </w:p>
    <w:p>
      <w:pPr>
        <w:pStyle w:val="Heading1"/>
        <w:keepNext/>
      </w:pPr>
      <w:r>
        <w:t>22. Deferred evolution triggers</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300"/>
        <w:gridCol w:w="6060"/>
      </w:tblGrid>
      <w:tr>
        <w:trPr>
          <w:tblHeader w:val="true"/>
          <w:cantSplit w:val="true"/>
        </w:trPr>
        <w:tc>
          <w:tcPr>
            <w:tcW w:type="dxa" w:w="3300"/>
            <w:tcMar>
              <w:top w:w="80" w:type="dxa"/>
              <w:start w:w="120" w:type="dxa"/>
              <w:bottom w:w="80" w:type="dxa"/>
              <w:end w:w="120" w:type="dxa"/>
            </w:tcMar>
            <w:vAlign w:val="center"/>
            <w:shd w:fill="F2F4F7"/>
          </w:tcPr>
          <w:p>
            <w:pPr>
              <w:pStyle w:val="TableText"/>
              <w:keepNext/>
            </w:pPr>
            <w:r>
              <w:rPr>
                <w:rFonts w:ascii="Calibri" w:hAnsi="Calibri"/>
                <w:b/>
                <w:color w:val="0B2545"/>
                <w:sz w:val="19"/>
              </w:rPr>
              <w:t>Deferred capability</w:t>
            </w:r>
          </w:p>
        </w:tc>
        <w:tc>
          <w:tcPr>
            <w:tcW w:type="dxa" w:w="6060"/>
            <w:tcMar>
              <w:top w:w="80" w:type="dxa"/>
              <w:start w:w="120" w:type="dxa"/>
              <w:bottom w:w="80" w:type="dxa"/>
              <w:end w:w="120" w:type="dxa"/>
            </w:tcMar>
            <w:vAlign w:val="center"/>
            <w:shd w:fill="F2F4F7"/>
          </w:tcPr>
          <w:p>
            <w:pPr>
              <w:pStyle w:val="TableText"/>
              <w:keepNext/>
            </w:pPr>
            <w:r>
              <w:rPr>
                <w:rFonts w:ascii="Calibri" w:hAnsi="Calibri"/>
                <w:b/>
                <w:color w:val="0B2545"/>
                <w:sz w:val="19"/>
              </w:rPr>
              <w:t>Consider only when</w:t>
            </w:r>
          </w:p>
        </w:tc>
      </w:tr>
      <w:tr>
        <w:trPr>
          <w:cantSplit w:val="true"/>
        </w:trPr>
        <w:tc>
          <w:tcPr>
            <w:tcW w:type="dxa" w:w="3300"/>
            <w:tcMar>
              <w:top w:w="80" w:type="dxa"/>
              <w:start w:w="120" w:type="dxa"/>
              <w:bottom w:w="80" w:type="dxa"/>
              <w:end w:w="120" w:type="dxa"/>
            </w:tcMar>
            <w:vAlign w:val="center"/>
          </w:tcPr>
          <w:p>
            <w:pPr>
              <w:pStyle w:val="TableText"/>
            </w:pPr>
            <w:r>
              <w:rPr>
                <w:rFonts w:ascii="Calibri" w:hAnsi="Calibri"/>
                <w:sz w:val="19"/>
              </w:rPr>
              <w:t>Paid model/search provider</w:t>
            </w:r>
          </w:p>
        </w:tc>
        <w:tc>
          <w:tcPr>
            <w:tcW w:type="dxa" w:w="6060"/>
            <w:tcMar>
              <w:top w:w="80" w:type="dxa"/>
              <w:start w:w="120" w:type="dxa"/>
              <w:bottom w:w="80" w:type="dxa"/>
              <w:end w:w="120" w:type="dxa"/>
            </w:tcMar>
            <w:vAlign w:val="center"/>
          </w:tcPr>
          <w:p>
            <w:pPr>
              <w:pStyle w:val="TableText"/>
            </w:pPr>
            <w:r>
              <w:rPr>
                <w:rFonts w:ascii="Calibri" w:hAnsi="Calibri"/>
                <w:sz w:val="19"/>
              </w:rPr>
              <w:t>Measured local quality or SearXNG reliability prevents useful opportunities and the benefit justifies secrets, pricing, budgets, and provider failure logic.</w:t>
            </w:r>
          </w:p>
        </w:tc>
      </w:tr>
      <w:tr>
        <w:trPr>
          <w:cantSplit w:val="true"/>
        </w:trPr>
        <w:tc>
          <w:tcPr>
            <w:tcW w:type="dxa" w:w="3300"/>
            <w:tcMar>
              <w:top w:w="80" w:type="dxa"/>
              <w:start w:w="120" w:type="dxa"/>
              <w:bottom w:w="80" w:type="dxa"/>
              <w:end w:w="120" w:type="dxa"/>
            </w:tcMar>
            <w:vAlign w:val="center"/>
          </w:tcPr>
          <w:p>
            <w:pPr>
              <w:pStyle w:val="TableText"/>
            </w:pPr>
            <w:r>
              <w:rPr>
                <w:rFonts w:ascii="Calibri" w:hAnsi="Calibri"/>
                <w:sz w:val="19"/>
              </w:rPr>
              <w:t>Approximate vector index</w:t>
            </w:r>
          </w:p>
        </w:tc>
        <w:tc>
          <w:tcPr>
            <w:tcW w:type="dxa" w:w="6060"/>
            <w:tcMar>
              <w:top w:w="80" w:type="dxa"/>
              <w:start w:w="120" w:type="dxa"/>
              <w:bottom w:w="80" w:type="dxa"/>
              <w:end w:w="120" w:type="dxa"/>
            </w:tcMar>
            <w:vAlign w:val="center"/>
          </w:tcPr>
          <w:p>
            <w:pPr>
              <w:pStyle w:val="TableText"/>
            </w:pPr>
            <w:r>
              <w:rPr>
                <w:rFonts w:ascii="Calibri" w:hAnsi="Calibri"/>
                <w:sz w:val="19"/>
              </w:rPr>
              <w:t>Measured PostgreSQL exact-search latency is unacceptable at the actual retained data volume.</w:t>
            </w:r>
          </w:p>
        </w:tc>
      </w:tr>
      <w:tr>
        <w:trPr>
          <w:cantSplit w:val="true"/>
        </w:trPr>
        <w:tc>
          <w:tcPr>
            <w:tcW w:type="dxa" w:w="3300"/>
            <w:tcMar>
              <w:top w:w="80" w:type="dxa"/>
              <w:start w:w="120" w:type="dxa"/>
              <w:bottom w:w="80" w:type="dxa"/>
              <w:end w:w="120" w:type="dxa"/>
            </w:tcMar>
            <w:vAlign w:val="center"/>
          </w:tcPr>
          <w:p>
            <w:pPr>
              <w:pStyle w:val="TableText"/>
            </w:pPr>
            <w:r>
              <w:rPr>
                <w:rFonts w:ascii="Calibri" w:hAnsi="Calibri"/>
                <w:sz w:val="19"/>
              </w:rPr>
              <w:t>LangGraph persistence/resume</w:t>
            </w:r>
          </w:p>
        </w:tc>
        <w:tc>
          <w:tcPr>
            <w:tcW w:type="dxa" w:w="6060"/>
            <w:tcMar>
              <w:top w:w="80" w:type="dxa"/>
              <w:start w:w="120" w:type="dxa"/>
              <w:bottom w:w="80" w:type="dxa"/>
              <w:end w:w="120" w:type="dxa"/>
            </w:tcMar>
            <w:vAlign w:val="center"/>
          </w:tcPr>
          <w:p>
            <w:pPr>
              <w:pStyle w:val="TableText"/>
            </w:pPr>
            <w:r>
              <w:rPr>
                <w:rFonts w:ascii="Calibri" w:hAnsi="Calibri"/>
                <w:sz w:val="19"/>
              </w:rPr>
              <w:t>Runs must survive process restart and the product accepts durable intermediate state and its cleanup/versioning complexity.</w:t>
            </w:r>
          </w:p>
        </w:tc>
      </w:tr>
      <w:tr>
        <w:trPr>
          <w:cantSplit w:val="true"/>
        </w:trPr>
        <w:tc>
          <w:tcPr>
            <w:tcW w:type="dxa" w:w="3300"/>
            <w:tcMar>
              <w:top w:w="80" w:type="dxa"/>
              <w:start w:w="120" w:type="dxa"/>
              <w:bottom w:w="80" w:type="dxa"/>
              <w:end w:w="120" w:type="dxa"/>
            </w:tcMar>
            <w:vAlign w:val="center"/>
          </w:tcPr>
          <w:p>
            <w:pPr>
              <w:pStyle w:val="TableText"/>
            </w:pPr>
            <w:r>
              <w:rPr>
                <w:rFonts w:ascii="Calibri" w:hAnsi="Calibri"/>
                <w:sz w:val="19"/>
              </w:rPr>
              <w:t>Multiple simultaneous runs or users</w:t>
            </w:r>
          </w:p>
        </w:tc>
        <w:tc>
          <w:tcPr>
            <w:tcW w:type="dxa" w:w="6060"/>
            <w:tcMar>
              <w:top w:w="80" w:type="dxa"/>
              <w:start w:w="120" w:type="dxa"/>
              <w:bottom w:w="80" w:type="dxa"/>
              <w:end w:w="120" w:type="dxa"/>
            </w:tcMar>
            <w:vAlign w:val="center"/>
          </w:tcPr>
          <w:p>
            <w:pPr>
              <w:pStyle w:val="TableText"/>
            </w:pPr>
            <w:r>
              <w:rPr>
                <w:rFonts w:ascii="Calibri" w:hAnsi="Calibri"/>
                <w:sz w:val="19"/>
              </w:rPr>
              <w:t>A real use case requires concurrency, authentication, ownership, isolation, and remote deployment.</w:t>
            </w:r>
          </w:p>
        </w:tc>
      </w:tr>
      <w:tr>
        <w:trPr>
          <w:cantSplit w:val="true"/>
        </w:trPr>
        <w:tc>
          <w:tcPr>
            <w:tcW w:type="dxa" w:w="3300"/>
            <w:tcMar>
              <w:top w:w="80" w:type="dxa"/>
              <w:start w:w="120" w:type="dxa"/>
              <w:bottom w:w="80" w:type="dxa"/>
              <w:end w:w="120" w:type="dxa"/>
            </w:tcMar>
            <w:vAlign w:val="center"/>
          </w:tcPr>
          <w:p>
            <w:pPr>
              <w:pStyle w:val="TableText"/>
            </w:pPr>
            <w:r>
              <w:rPr>
                <w:rFonts w:ascii="Calibri" w:hAnsi="Calibri"/>
                <w:sz w:val="19"/>
              </w:rPr>
              <w:t>Advanced research/source UI</w:t>
            </w:r>
          </w:p>
        </w:tc>
        <w:tc>
          <w:tcPr>
            <w:tcW w:type="dxa" w:w="6060"/>
            <w:tcMar>
              <w:top w:w="80" w:type="dxa"/>
              <w:start w:w="120" w:type="dxa"/>
              <w:bottom w:w="80" w:type="dxa"/>
              <w:end w:w="120" w:type="dxa"/>
            </w:tcMar>
            <w:vAlign w:val="center"/>
          </w:tcPr>
          <w:p>
            <w:pPr>
              <w:pStyle w:val="TableText"/>
            </w:pPr>
            <w:r>
              <w:rPr>
                <w:rFonts w:ascii="Calibri" w:hAnsi="Calibri"/>
                <w:sz w:val="19"/>
              </w:rPr>
              <w:t>The operator repeatedly needs to curate intermediate signals or patterns independently of final opportunities.</w:t>
            </w:r>
          </w:p>
        </w:tc>
      </w:tr>
      <w:tr>
        <w:trPr>
          <w:cantSplit w:val="true"/>
        </w:trPr>
        <w:tc>
          <w:tcPr>
            <w:tcW w:type="dxa" w:w="3300"/>
            <w:tcMar>
              <w:top w:w="80" w:type="dxa"/>
              <w:start w:w="120" w:type="dxa"/>
              <w:bottom w:w="80" w:type="dxa"/>
              <w:end w:w="120" w:type="dxa"/>
            </w:tcMar>
            <w:vAlign w:val="center"/>
          </w:tcPr>
          <w:p>
            <w:pPr>
              <w:pStyle w:val="TableText"/>
            </w:pPr>
            <w:r>
              <w:rPr>
                <w:rFonts w:ascii="Calibri" w:hAnsi="Calibri"/>
                <w:sz w:val="19"/>
              </w:rPr>
              <w:t>Model change and re-embedding</w:t>
            </w:r>
          </w:p>
        </w:tc>
        <w:tc>
          <w:tcPr>
            <w:tcW w:type="dxa" w:w="6060"/>
            <w:tcMar>
              <w:top w:w="80" w:type="dxa"/>
              <w:start w:w="120" w:type="dxa"/>
              <w:bottom w:w="80" w:type="dxa"/>
              <w:end w:w="120" w:type="dxa"/>
            </w:tcMar>
            <w:vAlign w:val="center"/>
          </w:tcPr>
          <w:p>
            <w:pPr>
              <w:pStyle w:val="TableText"/>
            </w:pPr>
            <w:r>
              <w:rPr>
                <w:rFonts w:ascii="Calibri" w:hAnsi="Calibri"/>
                <w:sz w:val="19"/>
              </w:rPr>
              <w:t>A validated new embedding model materially improves similarity and a migration/rebuild workflow is justified.</w:t>
            </w:r>
          </w:p>
        </w:tc>
      </w:tr>
    </w:tbl>
    <w:p>
      <w:pPr>
        <w:spacing w:after="0" w:line="120" w:lineRule="auto"/>
      </w:pPr>
    </w:p>
    <w:p>
      <w:pPr>
        <w:pStyle w:val="Heading1"/>
        <w:keepNext/>
      </w:pPr>
      <w:r>
        <w:t>Appendix A. Provisional shipped-default categories</w:t>
      </w:r>
    </w:p>
    <w:p>
      <w:r>
        <w:rPr>
          <w:rFonts w:ascii="Calibri" w:hAnsi="Calibri"/>
        </w:rPr>
        <w:t>System Design v1.5 carries forward the accepted numeric defaults and protected ceilings. Phase 7 deterministic tests and native-Fedora live calibration already confirmed that these bounds admit five finalizations on a representative sufficient-evidence run while preserving every security, evidence, and lifecycle invariant; Phase 8 does not alter those values or that evidence.</w:t>
      </w:r>
    </w:p>
    <w:p>
      <w:pPr>
        <w:numPr>
          <w:ilvl w:val="0"/>
          <w:numId w:val="10"/>
        </w:numPr>
        <w:spacing w:after="160" w:line="280" w:lineRule="auto"/>
      </w:pPr>
      <w:r>
        <w:rPr>
          <w:rFonts w:ascii="Calibri" w:hAnsi="Calibri"/>
        </w:rPr>
        <w:t>Search: query count, results per query, active engine set, language/region, pacing, concurrency, and request timeout.</w:t>
      </w:r>
    </w:p>
    <w:p>
      <w:pPr>
        <w:numPr>
          <w:ilvl w:val="0"/>
          <w:numId w:val="10"/>
        </w:numPr>
        <w:spacing w:after="160" w:line="280" w:lineRule="auto"/>
      </w:pPr>
      <w:r>
        <w:rPr>
          <w:rFonts w:ascii="Calibri" w:hAnsi="Calibri"/>
        </w:rPr>
        <w:t>Retrieval: maximum unique sources, bytes, redirects, content types, per-domain pacing, concurrency, retries, and timeout.</w:t>
      </w:r>
    </w:p>
    <w:p>
      <w:pPr>
        <w:numPr>
          <w:ilvl w:val="0"/>
          <w:numId w:val="10"/>
        </w:numPr>
        <w:spacing w:after="160" w:line="280" w:lineRule="auto"/>
      </w:pPr>
      <w:r>
        <w:rPr>
          <w:rFonts w:ascii="Calibri" w:hAnsi="Calibri"/>
        </w:rPr>
        <w:t>Funnel: signals, patterns, segments per pattern, preliminary survivors, concepts, concepts evaluated, automatic exact rediscoveries, the protected target of five distinct committed opportunities, and an explicit bounded-pool shortfall reason.</w:t>
      </w:r>
    </w:p>
    <w:p>
      <w:pPr>
        <w:numPr>
          <w:ilvl w:val="0"/>
          <w:numId w:val="10"/>
        </w:numPr>
        <w:spacing w:after="160" w:line="280" w:lineRule="auto"/>
      </w:pPr>
      <w:r>
        <w:rPr>
          <w:rFonts w:ascii="Calibri" w:hAnsi="Calibri"/>
        </w:rPr>
        <w:t>Models: context/input limit, output tokens per role, total run tokens, inference timeout, one repair attempt per call, sequential local-call concurrency, finalization reserve, and candidate-admission accounting.</w:t>
      </w:r>
    </w:p>
    <w:p>
      <w:pPr>
        <w:numPr>
          <w:ilvl w:val="0"/>
          <w:numId w:val="10"/>
        </w:numPr>
        <w:spacing w:after="160" w:line="280" w:lineRule="auto"/>
      </w:pPr>
      <w:r>
        <w:rPr>
          <w:rFonts w:ascii="Calibri" w:hAnsi="Calibri"/>
        </w:rPr>
        <w:t>Similarity: normalized identity fields, fingerprint version, embedding model/dimension, pattern and opportunity thresholds, and three Related links.</w:t>
      </w:r>
    </w:p>
    <w:p>
      <w:pPr>
        <w:numPr>
          <w:ilvl w:val="0"/>
          <w:numId w:val="10"/>
        </w:numPr>
        <w:spacing w:after="160" w:line="280" w:lineRule="auto"/>
      </w:pPr>
      <w:r>
        <w:rPr>
          <w:rFonts w:ascii="Calibri" w:hAnsi="Calibri"/>
        </w:rPr>
        <w:t>Redis/logging: event-stream bound, terminal expiration, cancellation-key expiration, log file size/count, and redaction rules.</w:t>
      </w:r>
    </w:p>
    <w:p>
      <w:pPr>
        <w:pStyle w:val="Heading1"/>
        <w:keepNext/>
      </w:pPr>
      <w:r>
        <w:t>Appendix B. Glossary</w:t>
      </w:r>
    </w:p>
    <w:tbl>
      <w:tblPr>
        <w:tblW w:type="dxa" w:w="9360"/>
        <w:tblLayout w:type="fixed"/>
        <w:tblLook w:firstColumn="1" w:firstRow="1" w:lastColumn="0" w:lastRow="0" w:noHBand="0" w:noVBand="1" w:val="04A0"/>
        <w:jc w:val="left"/>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400"/>
        <w:gridCol w:w="6960"/>
      </w:tblGrid>
      <w:tr>
        <w:trPr>
          <w:tblHeader w:val="true"/>
          <w:cantSplit w:val="true"/>
        </w:trPr>
        <w:tc>
          <w:tcPr>
            <w:tcW w:type="dxa" w:w="2400"/>
            <w:tcMar>
              <w:top w:w="80" w:type="dxa"/>
              <w:start w:w="120" w:type="dxa"/>
              <w:bottom w:w="80" w:type="dxa"/>
              <w:end w:w="120" w:type="dxa"/>
            </w:tcMar>
            <w:vAlign w:val="center"/>
            <w:shd w:fill="F2F4F7"/>
          </w:tcPr>
          <w:p>
            <w:pPr>
              <w:pStyle w:val="TableText"/>
              <w:keepNext/>
            </w:pPr>
            <w:r>
              <w:rPr>
                <w:rFonts w:ascii="Calibri" w:hAnsi="Calibri"/>
                <w:b/>
                <w:color w:val="0B2545"/>
                <w:sz w:val="19"/>
              </w:rPr>
              <w:t>Term</w:t>
            </w:r>
          </w:p>
        </w:tc>
        <w:tc>
          <w:tcPr>
            <w:tcW w:type="dxa" w:w="6960"/>
            <w:tcMar>
              <w:top w:w="80" w:type="dxa"/>
              <w:start w:w="120" w:type="dxa"/>
              <w:bottom w:w="80" w:type="dxa"/>
              <w:end w:w="120" w:type="dxa"/>
            </w:tcMar>
            <w:vAlign w:val="center"/>
            <w:shd w:fill="F2F4F7"/>
          </w:tcPr>
          <w:p>
            <w:pPr>
              <w:pStyle w:val="TableText"/>
              <w:keepNext/>
            </w:pPr>
            <w:r>
              <w:rPr>
                <w:rFonts w:ascii="Calibri" w:hAnsi="Calibri"/>
                <w:b/>
                <w:color w:val="0B2545"/>
                <w:sz w:val="19"/>
              </w:rPr>
              <w:t>Definition</w:t>
            </w:r>
          </w:p>
        </w:tc>
      </w:tr>
      <w:tr>
        <w:trPr>
          <w:cantSplit w:val="true"/>
        </w:trPr>
        <w:tc>
          <w:tcPr>
            <w:tcW w:type="dxa" w:w="2400"/>
            <w:tcMar>
              <w:top w:w="80" w:type="dxa"/>
              <w:start w:w="120" w:type="dxa"/>
              <w:bottom w:w="80" w:type="dxa"/>
              <w:end w:w="120" w:type="dxa"/>
            </w:tcMar>
            <w:vAlign w:val="center"/>
          </w:tcPr>
          <w:p>
            <w:pPr>
              <w:pStyle w:val="TableText"/>
            </w:pPr>
            <w:r>
              <w:rPr>
                <w:rFonts w:ascii="Calibri" w:hAnsi="Calibri"/>
                <w:sz w:val="19"/>
              </w:rPr>
              <w:t>Operator</w:t>
            </w:r>
          </w:p>
        </w:tc>
        <w:tc>
          <w:tcPr>
            <w:tcW w:type="dxa" w:w="6960"/>
            <w:tcMar>
              <w:top w:w="80" w:type="dxa"/>
              <w:start w:w="120" w:type="dxa"/>
              <w:bottom w:w="80" w:type="dxa"/>
              <w:end w:w="120" w:type="dxa"/>
            </w:tcMar>
            <w:vAlign w:val="center"/>
          </w:tcPr>
          <w:p>
            <w:pPr>
              <w:pStyle w:val="TableText"/>
            </w:pPr>
            <w:r>
              <w:rPr>
                <w:rFonts w:ascii="Calibri" w:hAnsi="Calibri"/>
                <w:sz w:val="19"/>
              </w:rPr>
              <w:t>The single person using one local Pensae Signal installation.</w:t>
            </w:r>
          </w:p>
        </w:tc>
      </w:tr>
      <w:tr>
        <w:trPr>
          <w:cantSplit w:val="true"/>
        </w:trPr>
        <w:tc>
          <w:tcPr>
            <w:tcW w:type="dxa" w:w="2400"/>
            <w:tcMar>
              <w:top w:w="80" w:type="dxa"/>
              <w:start w:w="120" w:type="dxa"/>
              <w:bottom w:w="80" w:type="dxa"/>
              <w:end w:w="120" w:type="dxa"/>
            </w:tcMar>
            <w:vAlign w:val="center"/>
          </w:tcPr>
          <w:p>
            <w:pPr>
              <w:pStyle w:val="TableText"/>
            </w:pPr>
            <w:r>
              <w:rPr>
                <w:rFonts w:ascii="Calibri" w:hAnsi="Calibri"/>
                <w:sz w:val="19"/>
              </w:rPr>
              <w:t>Run</w:t>
            </w:r>
          </w:p>
        </w:tc>
        <w:tc>
          <w:tcPr>
            <w:tcW w:type="dxa" w:w="6960"/>
            <w:tcMar>
              <w:top w:w="80" w:type="dxa"/>
              <w:start w:w="120" w:type="dxa"/>
              <w:bottom w:w="80" w:type="dxa"/>
              <w:end w:w="120" w:type="dxa"/>
            </w:tcMar>
            <w:vAlign w:val="center"/>
          </w:tcPr>
          <w:p>
            <w:pPr>
              <w:pStyle w:val="TableText"/>
            </w:pPr>
            <w:r>
              <w:rPr>
                <w:rFonts w:ascii="Calibri" w:hAnsi="Calibri"/>
                <w:sz w:val="19"/>
              </w:rPr>
              <w:t>One backend-owned execution of the bounded LangGraph workflow using an immutable configuration snapshot.</w:t>
            </w:r>
          </w:p>
        </w:tc>
      </w:tr>
      <w:tr>
        <w:trPr>
          <w:cantSplit w:val="true"/>
        </w:trPr>
        <w:tc>
          <w:tcPr>
            <w:tcW w:type="dxa" w:w="2400"/>
            <w:tcMar>
              <w:top w:w="80" w:type="dxa"/>
              <w:start w:w="120" w:type="dxa"/>
              <w:bottom w:w="80" w:type="dxa"/>
              <w:end w:w="120" w:type="dxa"/>
            </w:tcMar>
            <w:vAlign w:val="center"/>
          </w:tcPr>
          <w:p>
            <w:pPr>
              <w:pStyle w:val="TableText"/>
            </w:pPr>
            <w:r>
              <w:rPr>
                <w:rFonts w:ascii="Calibri" w:hAnsi="Calibri"/>
                <w:sz w:val="19"/>
              </w:rPr>
              <w:t>Source</w:t>
            </w:r>
          </w:p>
        </w:tc>
        <w:tc>
          <w:tcPr>
            <w:tcW w:type="dxa" w:w="6960"/>
            <w:tcMar>
              <w:top w:w="80" w:type="dxa"/>
              <w:start w:w="120" w:type="dxa"/>
              <w:bottom w:w="80" w:type="dxa"/>
              <w:end w:w="120" w:type="dxa"/>
            </w:tcMar>
            <w:vAlign w:val="center"/>
          </w:tcPr>
          <w:p>
            <w:pPr>
              <w:pStyle w:val="TableText"/>
            </w:pPr>
            <w:r>
              <w:rPr>
                <w:rFonts w:ascii="Calibri" w:hAnsi="Calibri"/>
                <w:sz w:val="19"/>
              </w:rPr>
              <w:t>Minimal provenance and a short verified excerpt from a public web result; never a complete stored webpage.</w:t>
            </w:r>
          </w:p>
        </w:tc>
      </w:tr>
      <w:tr>
        <w:trPr>
          <w:cantSplit w:val="true"/>
        </w:trPr>
        <w:tc>
          <w:tcPr>
            <w:tcW w:type="dxa" w:w="2400"/>
            <w:tcMar>
              <w:top w:w="80" w:type="dxa"/>
              <w:start w:w="120" w:type="dxa"/>
              <w:bottom w:w="80" w:type="dxa"/>
              <w:end w:w="120" w:type="dxa"/>
            </w:tcMar>
            <w:vAlign w:val="center"/>
          </w:tcPr>
          <w:p>
            <w:pPr>
              <w:pStyle w:val="TableText"/>
            </w:pPr>
            <w:r>
              <w:rPr>
                <w:rFonts w:ascii="Calibri" w:hAnsi="Calibri"/>
                <w:sz w:val="19"/>
              </w:rPr>
              <w:t>Problem signal</w:t>
            </w:r>
          </w:p>
        </w:tc>
        <w:tc>
          <w:tcPr>
            <w:tcW w:type="dxa" w:w="6960"/>
            <w:tcMar>
              <w:top w:w="80" w:type="dxa"/>
              <w:start w:w="120" w:type="dxa"/>
              <w:bottom w:w="80" w:type="dxa"/>
              <w:end w:w="120" w:type="dxa"/>
            </w:tcMar>
            <w:vAlign w:val="center"/>
          </w:tcPr>
          <w:p>
            <w:pPr>
              <w:pStyle w:val="TableText"/>
            </w:pPr>
            <w:r>
              <w:rPr>
                <w:rFonts w:ascii="Calibri" w:hAnsi="Calibri"/>
                <w:sz w:val="19"/>
              </w:rPr>
              <w:t>A structured evidence-linked observation of an inefficient workflow, workaround, unmet need, or recurring complaint.</w:t>
            </w:r>
          </w:p>
        </w:tc>
      </w:tr>
      <w:tr>
        <w:trPr>
          <w:cantSplit w:val="true"/>
        </w:trPr>
        <w:tc>
          <w:tcPr>
            <w:tcW w:type="dxa" w:w="2400"/>
            <w:tcMar>
              <w:top w:w="80" w:type="dxa"/>
              <w:start w:w="120" w:type="dxa"/>
              <w:bottom w:w="80" w:type="dxa"/>
              <w:end w:w="120" w:type="dxa"/>
            </w:tcMar>
            <w:vAlign w:val="center"/>
          </w:tcPr>
          <w:p>
            <w:pPr>
              <w:pStyle w:val="TableText"/>
            </w:pPr>
            <w:r>
              <w:rPr>
                <w:rFonts w:ascii="Calibri" w:hAnsi="Calibri"/>
                <w:sz w:val="19"/>
              </w:rPr>
              <w:t>Problem pattern</w:t>
            </w:r>
          </w:p>
        </w:tc>
        <w:tc>
          <w:tcPr>
            <w:tcW w:type="dxa" w:w="6960"/>
            <w:tcMar>
              <w:top w:w="80" w:type="dxa"/>
              <w:start w:w="120" w:type="dxa"/>
              <w:bottom w:w="80" w:type="dxa"/>
              <w:end w:w="120" w:type="dxa"/>
            </w:tcMar>
            <w:vAlign w:val="center"/>
          </w:tcPr>
          <w:p>
            <w:pPr>
              <w:pStyle w:val="TableText"/>
            </w:pPr>
            <w:r>
              <w:rPr>
                <w:rFonts w:ascii="Calibri" w:hAnsi="Calibri"/>
                <w:sz w:val="19"/>
              </w:rPr>
              <w:t>A normalized cross-industry abstraction that groups related problem signals.</w:t>
            </w:r>
          </w:p>
        </w:tc>
      </w:tr>
      <w:tr>
        <w:trPr>
          <w:cantSplit w:val="true"/>
        </w:trPr>
        <w:tc>
          <w:tcPr>
            <w:tcW w:type="dxa" w:w="2400"/>
            <w:tcMar>
              <w:top w:w="80" w:type="dxa"/>
              <w:start w:w="120" w:type="dxa"/>
              <w:bottom w:w="80" w:type="dxa"/>
              <w:end w:w="120" w:type="dxa"/>
            </w:tcMar>
            <w:vAlign w:val="center"/>
          </w:tcPr>
          <w:p>
            <w:pPr>
              <w:pStyle w:val="TableText"/>
            </w:pPr>
            <w:r>
              <w:rPr>
                <w:rFonts w:ascii="Calibri" w:hAnsi="Calibri"/>
                <w:sz w:val="19"/>
              </w:rPr>
              <w:t>Opportunity</w:t>
            </w:r>
          </w:p>
        </w:tc>
        <w:tc>
          <w:tcPr>
            <w:tcW w:type="dxa" w:w="6960"/>
            <w:tcMar>
              <w:top w:w="80" w:type="dxa"/>
              <w:start w:w="120" w:type="dxa"/>
              <w:bottom w:w="80" w:type="dxa"/>
              <w:end w:w="120" w:type="dxa"/>
            </w:tcMar>
            <w:vAlign w:val="center"/>
          </w:tcPr>
          <w:p>
            <w:pPr>
              <w:pStyle w:val="TableText"/>
            </w:pPr>
            <w:r>
              <w:rPr>
                <w:rFonts w:ascii="Calibri" w:hAnsi="Calibri"/>
                <w:sz w:val="19"/>
              </w:rPr>
              <w:t>A problem pattern plus proposed solution, target segment, buyer, workflow, and supporting evidence.</w:t>
            </w:r>
          </w:p>
        </w:tc>
      </w:tr>
      <w:tr>
        <w:trPr>
          <w:cantSplit w:val="true"/>
        </w:trPr>
        <w:tc>
          <w:tcPr>
            <w:tcW w:type="dxa" w:w="2400"/>
            <w:tcMar>
              <w:top w:w="80" w:type="dxa"/>
              <w:start w:w="120" w:type="dxa"/>
              <w:bottom w:w="80" w:type="dxa"/>
              <w:end w:w="120" w:type="dxa"/>
            </w:tcMar>
            <w:vAlign w:val="center"/>
          </w:tcPr>
          <w:p>
            <w:pPr>
              <w:pStyle w:val="TableText"/>
            </w:pPr>
            <w:r>
              <w:rPr>
                <w:rFonts w:ascii="Calibri" w:hAnsi="Calibri"/>
                <w:sz w:val="19"/>
              </w:rPr>
              <w:t>Opportunity version</w:t>
            </w:r>
          </w:p>
        </w:tc>
        <w:tc>
          <w:tcPr>
            <w:tcW w:type="dxa" w:w="6960"/>
            <w:tcMar>
              <w:top w:w="80" w:type="dxa"/>
              <w:start w:w="120" w:type="dxa"/>
              <w:bottom w:w="80" w:type="dxa"/>
              <w:end w:w="120" w:type="dxa"/>
            </w:tcMar>
            <w:vAlign w:val="center"/>
          </w:tcPr>
          <w:p>
            <w:pPr>
              <w:pStyle w:val="TableText"/>
            </w:pPr>
            <w:r>
              <w:rPr>
                <w:rFonts w:ascii="Calibri" w:hAnsi="Calibri"/>
                <w:sz w:val="19"/>
              </w:rPr>
              <w:t>An immutable complete evaluated snapshot of an opportunity at a point in time.</w:t>
            </w:r>
          </w:p>
        </w:tc>
      </w:tr>
      <w:tr>
        <w:trPr>
          <w:cantSplit w:val="true"/>
        </w:trPr>
        <w:tc>
          <w:tcPr>
            <w:tcW w:type="dxa" w:w="2400"/>
            <w:tcMar>
              <w:top w:w="80" w:type="dxa"/>
              <w:start w:w="120" w:type="dxa"/>
              <w:bottom w:w="80" w:type="dxa"/>
              <w:end w:w="120" w:type="dxa"/>
            </w:tcMar>
            <w:vAlign w:val="center"/>
          </w:tcPr>
          <w:p>
            <w:pPr>
              <w:pStyle w:val="TableText"/>
            </w:pPr>
            <w:r>
              <w:rPr>
                <w:rFonts w:ascii="Calibri" w:hAnsi="Calibri"/>
                <w:sz w:val="19"/>
              </w:rPr>
              <w:t>Agent</w:t>
            </w:r>
          </w:p>
        </w:tc>
        <w:tc>
          <w:tcPr>
            <w:tcW w:type="dxa" w:w="6960"/>
            <w:tcMar>
              <w:top w:w="80" w:type="dxa"/>
              <w:start w:w="120" w:type="dxa"/>
              <w:bottom w:w="80" w:type="dxa"/>
              <w:end w:w="120" w:type="dxa"/>
            </w:tcMar>
            <w:vAlign w:val="center"/>
          </w:tcPr>
          <w:p>
            <w:pPr>
              <w:pStyle w:val="TableText"/>
            </w:pPr>
            <w:r>
              <w:rPr>
                <w:rFonts w:ascii="Calibri" w:hAnsi="Calibri"/>
                <w:sz w:val="19"/>
              </w:rPr>
              <w:t>A constrained LangGraph prompt-and-schema role using the shared local chat model; not an autonomous process or user.</w:t>
            </w:r>
          </w:p>
        </w:tc>
      </w:tr>
      <w:tr>
        <w:trPr>
          <w:cantSplit w:val="true"/>
        </w:trPr>
        <w:tc>
          <w:tcPr>
            <w:tcW w:type="dxa" w:w="2400"/>
            <w:tcMar>
              <w:top w:w="80" w:type="dxa"/>
              <w:start w:w="120" w:type="dxa"/>
              <w:bottom w:w="80" w:type="dxa"/>
              <w:end w:w="120" w:type="dxa"/>
            </w:tcMar>
            <w:vAlign w:val="center"/>
          </w:tcPr>
          <w:p>
            <w:pPr>
              <w:pStyle w:val="TableText"/>
            </w:pPr>
            <w:r>
              <w:rPr>
                <w:rFonts w:ascii="Calibri" w:hAnsi="Calibri"/>
                <w:sz w:val="19"/>
              </w:rPr>
              <w:t>Evidence gate</w:t>
            </w:r>
          </w:p>
        </w:tc>
        <w:tc>
          <w:tcPr>
            <w:tcW w:type="dxa" w:w="6960"/>
            <w:tcMar>
              <w:top w:w="80" w:type="dxa"/>
              <w:start w:w="120" w:type="dxa"/>
              <w:bottom w:w="80" w:type="dxa"/>
              <w:end w:w="120" w:type="dxa"/>
            </w:tcMar>
            <w:vAlign w:val="center"/>
          </w:tcPr>
          <w:p>
            <w:pPr>
              <w:pStyle w:val="TableText"/>
            </w:pPr>
            <w:r>
              <w:rPr>
                <w:rFonts w:ascii="Calibri" w:hAnsi="Calibri"/>
                <w:sz w:val="19"/>
              </w:rPr>
              <w:t>Deterministic required fields and source conditions that a candidate must satisfy before proceeding or being retained.</w:t>
            </w:r>
          </w:p>
        </w:tc>
      </w:tr>
      <w:tr>
        <w:trPr>
          <w:cantSplit w:val="true"/>
        </w:trPr>
        <w:tc>
          <w:tcPr>
            <w:tcW w:type="dxa" w:w="2400"/>
            <w:tcMar>
              <w:top w:w="80" w:type="dxa"/>
              <w:start w:w="120" w:type="dxa"/>
              <w:bottom w:w="80" w:type="dxa"/>
              <w:end w:w="120" w:type="dxa"/>
            </w:tcMar>
            <w:vAlign w:val="center"/>
          </w:tcPr>
          <w:p>
            <w:pPr>
              <w:pStyle w:val="TableText"/>
            </w:pPr>
            <w:r>
              <w:rPr>
                <w:rFonts w:ascii="Calibri" w:hAnsi="Calibri"/>
                <w:sz w:val="19"/>
              </w:rPr>
              <w:t>Possible rediscovery</w:t>
            </w:r>
          </w:p>
        </w:tc>
        <w:tc>
          <w:tcPr>
            <w:tcW w:type="dxa" w:w="6960"/>
            <w:tcMar>
              <w:top w:w="80" w:type="dxa"/>
              <w:start w:w="120" w:type="dxa"/>
              <w:bottom w:w="80" w:type="dxa"/>
              <w:end w:w="120" w:type="dxa"/>
            </w:tcMar>
            <w:vAlign w:val="center"/>
          </w:tcPr>
          <w:p>
            <w:pPr>
              <w:pStyle w:val="TableText"/>
            </w:pPr>
            <w:r>
              <w:rPr>
                <w:rFonts w:ascii="Calibri" w:hAnsi="Calibri"/>
                <w:sz w:val="19"/>
              </w:rPr>
              <w:t>A strong semantic match saved non-blockingly as Related until operator review.</w:t>
            </w:r>
          </w:p>
        </w:tc>
      </w:tr>
      <w:tr>
        <w:trPr>
          <w:cantSplit w:val="true"/>
        </w:trPr>
        <w:tc>
          <w:tcPr>
            <w:tcW w:type="dxa" w:w="2400"/>
            <w:tcMar>
              <w:top w:w="80" w:type="dxa"/>
              <w:start w:w="120" w:type="dxa"/>
              <w:bottom w:w="80" w:type="dxa"/>
              <w:end w:w="120" w:type="dxa"/>
            </w:tcMar>
            <w:vAlign w:val="center"/>
          </w:tcPr>
          <w:p>
            <w:pPr>
              <w:pStyle w:val="TableText"/>
            </w:pPr>
            <w:r>
              <w:rPr>
                <w:rFonts w:ascii="Calibri" w:hAnsi="Calibri"/>
                <w:sz w:val="19"/>
              </w:rPr>
              <w:t>Processing data</w:t>
            </w:r>
          </w:p>
        </w:tc>
        <w:tc>
          <w:tcPr>
            <w:tcW w:type="dxa" w:w="6960"/>
            <w:tcMar>
              <w:top w:w="80" w:type="dxa"/>
              <w:start w:w="120" w:type="dxa"/>
              <w:bottom w:w="80" w:type="dxa"/>
              <w:end w:w="120" w:type="dxa"/>
            </w:tcMar>
            <w:vAlign w:val="center"/>
          </w:tcPr>
          <w:p>
            <w:pPr>
              <w:pStyle w:val="TableText"/>
            </w:pPr>
            <w:r>
              <w:rPr>
                <w:rFonts w:ascii="Calibri" w:hAnsi="Calibri"/>
                <w:sz w:val="19"/>
              </w:rPr>
              <w:t>Temporary search payloads, pages, extracted text, prompts, model responses, retries, and incomplete/rejected candidates.</w:t>
            </w:r>
          </w:p>
        </w:tc>
      </w:tr>
    </w:tbl>
    <w:p>
      <w:pPr>
        <w:spacing w:after="0" w:line="120" w:lineRule="auto"/>
      </w:pPr>
    </w:p>
    <w:p>
      <w:pPr>
        <w:pStyle w:val="Heading1"/>
        <w:keepNext/>
      </w:pPr>
      <w:r>
        <w:t>Approval and next phase</w:t>
      </w:r>
    </w:p>
    <w:p>
      <w:r>
        <w:rPr>
          <w:rFonts w:ascii="Calibri" w:hAnsi="Calibri"/>
        </w:rPr>
        <w:t>This accepted v2.4 PRD is the requirements baseline for Phase 8 application-identity implementation and acceptance testing. Phase 8 changes human-facing branding from Pensae to Pensae Signal while preserving Pensae as the owning company/project name and preserving stable compatibility identifiers. The accepted Phase 7 behavior and release evidence remain unchanged and historical.</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 w:pos="9360" w:val="right"/>
      </w:tabs>
      <w:spacing w:before="0" w:after="0"/>
    </w:pPr>
    <w:r>
      <w:rPr>
        <w:rFonts w:ascii="Calibri" w:hAnsi="Calibri"/>
        <w:color w:val="5F6B78"/>
        <w:sz w:val="18"/>
      </w:rPr>
      <w:t>Product requirements  |  v2.4</w:t>
    </w:r>
    <w:r>
      <w:tab/>
    </w:r>
    <w:r>
      <w:rPr>
        <w:rFonts w:ascii="Calibri" w:hAnsi="Calibri"/>
        <w:color w:val="5F6B78"/>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F6B78"/>
        <w:sz w:val="17"/>
      </w:rPr>
      <w:t>PENSAE SIGNAL  /  PROBLEM-FIRST OPPORTUNITY DISCOVERY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5F6B78"/>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5F6B78"/>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40" w:line="240" w:lineRule="auto"/>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Pensae Signal Problem-First Opportunity Discovery PRD v2.4</dc:title>
  <dc:subject>Accepted Pensae Signal application-identity baseline</dc:subject>
  <dc:creator>Pensae project</dc:creator>
  <cp:keywords>PRD, problem discovery, opportunity research, LangGraph, llama.cpp, SearXNG, PostgreSQL, pgvector, Redis</cp:keywords>
  <dc:description>Version 2.4 renames the human-facing application to Pensae Signal while preserving Pensae as owner and preserving all behavior, data, topology, security, and compatibility identifiers.</dc:description>
  <cp:lastModifiedBy>Pensae / Codex</cp:lastModifiedBy>
  <cp:revision>2</cp:revision>
  <dcterms:created xsi:type="dcterms:W3CDTF">2013-12-23T23:15:00Z</dcterms:created>
  <dcterms:modified xsi:type="dcterms:W3CDTF">2026-08-28T00:00:00Z</dcterms:modified>
  <cp:category/>
</cp:coreProperties>
</file>