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49F99" w14:textId="429A964E" w:rsidR="00FB0E98" w:rsidRDefault="00FB0E98">
      <w:pPr>
        <w:pStyle w:val="Appendix1"/>
      </w:pPr>
      <w:bookmarkStart w:id="0" w:name="_Ref517164255"/>
      <w:bookmarkStart w:id="1" w:name="_Toc4767828"/>
      <w:bookmarkStart w:id="2" w:name="_Toc4748890"/>
      <w:bookmarkStart w:id="3" w:name="_GoBack"/>
      <w:bookmarkEnd w:id="3"/>
      <w:r>
        <w:t>DAOS Environment Variables</w:t>
      </w:r>
      <w:bookmarkEnd w:id="0"/>
      <w:bookmarkEnd w:id="1"/>
      <w:bookmarkEnd w:id="2"/>
    </w:p>
    <w:p w14:paraId="3BBA4BF1" w14:textId="3E5C93AD" w:rsidR="00FB0E98" w:rsidRDefault="00FB0E98" w:rsidP="00FB0E98">
      <w:pPr>
        <w:pStyle w:val="Body1"/>
      </w:pPr>
      <w:r>
        <w:t xml:space="preserve">This </w:t>
      </w:r>
      <w:r w:rsidR="00A84024">
        <w:t>section</w:t>
      </w:r>
      <w:r>
        <w:t xml:space="preserve"> lists the environment variables used by DAOS. Many of them are </w:t>
      </w:r>
      <w:r w:rsidR="00A84024">
        <w:t>used</w:t>
      </w:r>
      <w:r>
        <w:t xml:space="preserve"> for development purposes only and may be removed or changed in the future.</w:t>
      </w:r>
    </w:p>
    <w:p w14:paraId="75002095" w14:textId="77777777" w:rsidR="00FB0E98" w:rsidRDefault="00FB0E98" w:rsidP="00FB0E98">
      <w:pPr>
        <w:pStyle w:val="Body1"/>
      </w:pPr>
      <w:r>
        <w:t>The description of each variable follows the following format:</w:t>
      </w:r>
    </w:p>
    <w:p w14:paraId="184DF257" w14:textId="2E3B1DDD" w:rsidR="00134A82" w:rsidRDefault="00134A82" w:rsidP="002E45A1">
      <w:pPr>
        <w:pStyle w:val="Bullet1"/>
      </w:pPr>
      <w:r>
        <w:t>Short description</w:t>
      </w:r>
    </w:p>
    <w:p w14:paraId="79ED6784" w14:textId="77777777" w:rsidR="00134A82" w:rsidRDefault="00134A82" w:rsidP="00134A82">
      <w:pPr>
        <w:pStyle w:val="Bullet1"/>
      </w:pPr>
      <w:r>
        <w:t>Type</w:t>
      </w:r>
    </w:p>
    <w:p w14:paraId="20EEF1A3" w14:textId="4A31BFFE" w:rsidR="00FB0E98" w:rsidRDefault="00C530D7" w:rsidP="00134A82">
      <w:pPr>
        <w:pStyle w:val="Bullet1"/>
      </w:pPr>
      <w:r>
        <w:rPr>
          <w:noProof/>
        </w:rPr>
        <w:t>The d</w:t>
      </w:r>
      <w:r w:rsidR="00FB0E98" w:rsidRPr="00C530D7">
        <w:rPr>
          <w:noProof/>
        </w:rPr>
        <w:t>efault</w:t>
      </w:r>
      <w:r w:rsidR="00FB0E98">
        <w:t xml:space="preserve"> </w:t>
      </w:r>
      <w:r w:rsidR="00134A82">
        <w:t xml:space="preserve">behavior </w:t>
      </w:r>
      <w:r w:rsidR="00FB0E98">
        <w:t>if not set.</w:t>
      </w:r>
    </w:p>
    <w:p w14:paraId="09B8B749" w14:textId="1511A91F" w:rsidR="00FB0E98" w:rsidRDefault="00FB0E98" w:rsidP="00134A82">
      <w:pPr>
        <w:pStyle w:val="Bullet1"/>
      </w:pPr>
      <w:r>
        <w:t xml:space="preserve">A </w:t>
      </w:r>
      <w:r w:rsidR="00134A82">
        <w:t>longer description if necessary</w:t>
      </w:r>
    </w:p>
    <w:p w14:paraId="0E5C206C" w14:textId="196C87C5" w:rsidR="00FB0E98" w:rsidRDefault="00FB0E98" w:rsidP="00FB0E98">
      <w:pPr>
        <w:pStyle w:val="Body1"/>
      </w:pPr>
      <w:r w:rsidRPr="00C530D7">
        <w:rPr>
          <w:noProof/>
        </w:rPr>
        <w:t>T</w:t>
      </w:r>
      <w:r w:rsidR="00C530D7">
        <w:rPr>
          <w:noProof/>
        </w:rPr>
        <w:t xml:space="preserve">his table defines </w:t>
      </w:r>
      <w:r w:rsidR="00C530D7" w:rsidRPr="00C530D7">
        <w:rPr>
          <w:noProof/>
        </w:rPr>
        <w:t>a</w:t>
      </w:r>
      <w:r w:rsidR="00C530D7">
        <w:rPr>
          <w:noProof/>
        </w:rPr>
        <w:t xml:space="preserve"> </w:t>
      </w:r>
      <w:r w:rsidR="00C530D7" w:rsidRPr="00C530D7">
        <w:rPr>
          <w:noProof/>
        </w:rPr>
        <w:t>typ</w:t>
      </w:r>
      <w:r w:rsidRPr="00C530D7">
        <w:rPr>
          <w:noProof/>
        </w:rPr>
        <w:t>e</w:t>
      </w:r>
      <w:r>
        <w:t>:</w:t>
      </w:r>
    </w:p>
    <w:tbl>
      <w:tblPr>
        <w:tblStyle w:val="TableGrid"/>
        <w:tblW w:w="0" w:type="auto"/>
        <w:tblLook w:val="04A0" w:firstRow="1" w:lastRow="0" w:firstColumn="1" w:lastColumn="0" w:noHBand="0" w:noVBand="1"/>
      </w:tblPr>
      <w:tblGrid>
        <w:gridCol w:w="1208"/>
        <w:gridCol w:w="5556"/>
      </w:tblGrid>
      <w:tr w:rsidR="00A84024" w:rsidRPr="00A84024" w14:paraId="1D8134D7" w14:textId="77777777" w:rsidTr="00134A82">
        <w:trPr>
          <w:cnfStyle w:val="100000000000" w:firstRow="1" w:lastRow="0" w:firstColumn="0" w:lastColumn="0" w:oddVBand="0" w:evenVBand="0" w:oddHBand="0" w:evenHBand="0" w:firstRowFirstColumn="0" w:firstRowLastColumn="0" w:lastRowFirstColumn="0" w:lastRowLastColumn="0"/>
        </w:trPr>
        <w:tc>
          <w:tcPr>
            <w:tcW w:w="1208" w:type="dxa"/>
          </w:tcPr>
          <w:p w14:paraId="08098C16" w14:textId="77777777" w:rsidR="00A84024" w:rsidRPr="00A84024" w:rsidRDefault="00A84024" w:rsidP="00A84024">
            <w:pPr>
              <w:pStyle w:val="TableHeading"/>
            </w:pPr>
            <w:r w:rsidRPr="00A84024">
              <w:t xml:space="preserve">Type </w:t>
            </w:r>
          </w:p>
        </w:tc>
        <w:tc>
          <w:tcPr>
            <w:tcW w:w="5556" w:type="dxa"/>
          </w:tcPr>
          <w:p w14:paraId="714FCD3B" w14:textId="77777777" w:rsidR="00A84024" w:rsidRPr="00A84024" w:rsidRDefault="00A84024" w:rsidP="00A84024">
            <w:pPr>
              <w:pStyle w:val="TableHeading"/>
            </w:pPr>
            <w:r w:rsidRPr="00A84024">
              <w:t>Values</w:t>
            </w:r>
          </w:p>
        </w:tc>
      </w:tr>
      <w:tr w:rsidR="00A84024" w:rsidRPr="00A84024" w14:paraId="4373EB8F" w14:textId="77777777" w:rsidTr="00134A82">
        <w:tc>
          <w:tcPr>
            <w:tcW w:w="1208" w:type="dxa"/>
          </w:tcPr>
          <w:p w14:paraId="00D4DEDF" w14:textId="77777777" w:rsidR="00A84024" w:rsidRPr="00A84024" w:rsidRDefault="00A84024" w:rsidP="00A84024">
            <w:pPr>
              <w:pStyle w:val="TableBody1"/>
            </w:pPr>
            <w:r w:rsidRPr="00A84024">
              <w:t xml:space="preserve">BOOL </w:t>
            </w:r>
          </w:p>
        </w:tc>
        <w:tc>
          <w:tcPr>
            <w:tcW w:w="5556" w:type="dxa"/>
          </w:tcPr>
          <w:p w14:paraId="0176BE6C" w14:textId="77777777" w:rsidR="00A84024" w:rsidRPr="00A84024" w:rsidRDefault="00A84024" w:rsidP="00A84024">
            <w:pPr>
              <w:pStyle w:val="TableBody1"/>
            </w:pPr>
            <w:r w:rsidRPr="00A84024">
              <w:t>0 means false; any other value means true</w:t>
            </w:r>
          </w:p>
        </w:tc>
      </w:tr>
      <w:tr w:rsidR="00A84024" w:rsidRPr="00A84024" w14:paraId="245C54B8" w14:textId="77777777" w:rsidTr="00134A82">
        <w:tc>
          <w:tcPr>
            <w:tcW w:w="1208" w:type="dxa"/>
          </w:tcPr>
          <w:p w14:paraId="5120A660" w14:textId="77777777" w:rsidR="00A84024" w:rsidRPr="00A84024" w:rsidRDefault="00A84024" w:rsidP="00A84024">
            <w:pPr>
              <w:pStyle w:val="TableBody1"/>
            </w:pPr>
            <w:r w:rsidRPr="00A84024">
              <w:t xml:space="preserve">BOOL2 </w:t>
            </w:r>
          </w:p>
        </w:tc>
        <w:tc>
          <w:tcPr>
            <w:tcW w:w="5556" w:type="dxa"/>
          </w:tcPr>
          <w:p w14:paraId="6C9B7ECC" w14:textId="77777777" w:rsidR="00A84024" w:rsidRPr="00A84024" w:rsidRDefault="00A84024" w:rsidP="00A84024">
            <w:pPr>
              <w:pStyle w:val="TableBody1"/>
            </w:pPr>
            <w:r w:rsidRPr="00A84024">
              <w:t>no means false; any other value means true</w:t>
            </w:r>
          </w:p>
        </w:tc>
      </w:tr>
      <w:tr w:rsidR="00A84024" w:rsidRPr="00A84024" w14:paraId="0AE0D553" w14:textId="77777777" w:rsidTr="00134A82">
        <w:tc>
          <w:tcPr>
            <w:tcW w:w="1208" w:type="dxa"/>
          </w:tcPr>
          <w:p w14:paraId="052ACD05" w14:textId="77777777" w:rsidR="00A84024" w:rsidRPr="00A84024" w:rsidRDefault="00A84024" w:rsidP="00A84024">
            <w:pPr>
              <w:pStyle w:val="TableBody1"/>
            </w:pPr>
            <w:r w:rsidRPr="00A84024">
              <w:t xml:space="preserve">BOOL3 </w:t>
            </w:r>
          </w:p>
        </w:tc>
        <w:tc>
          <w:tcPr>
            <w:tcW w:w="5556" w:type="dxa"/>
          </w:tcPr>
          <w:p w14:paraId="5607F8CE" w14:textId="77777777" w:rsidR="00A84024" w:rsidRPr="00A84024" w:rsidRDefault="00A84024" w:rsidP="00A84024">
            <w:pPr>
              <w:pStyle w:val="TableBody1"/>
            </w:pPr>
            <w:r w:rsidRPr="00A84024">
              <w:t>set to empty or any value means true; unset means false</w:t>
            </w:r>
          </w:p>
        </w:tc>
      </w:tr>
      <w:tr w:rsidR="00A84024" w:rsidRPr="00A84024" w14:paraId="16AAE3A1" w14:textId="77777777" w:rsidTr="00134A82">
        <w:tc>
          <w:tcPr>
            <w:tcW w:w="1208" w:type="dxa"/>
          </w:tcPr>
          <w:p w14:paraId="6E648680" w14:textId="77777777" w:rsidR="00A84024" w:rsidRPr="00A84024" w:rsidRDefault="00A84024" w:rsidP="00A84024">
            <w:pPr>
              <w:pStyle w:val="TableBody1"/>
            </w:pPr>
            <w:r w:rsidRPr="00A84024">
              <w:t xml:space="preserve">INTEGER </w:t>
            </w:r>
          </w:p>
        </w:tc>
        <w:tc>
          <w:tcPr>
            <w:tcW w:w="5556" w:type="dxa"/>
          </w:tcPr>
          <w:p w14:paraId="2188C2EE" w14:textId="77777777" w:rsidR="00A84024" w:rsidRPr="00A84024" w:rsidRDefault="00A84024" w:rsidP="00A84024">
            <w:pPr>
              <w:pStyle w:val="TableBody1"/>
            </w:pPr>
            <w:r w:rsidRPr="00A84024">
              <w:t>Non-negative decimal integer</w:t>
            </w:r>
          </w:p>
        </w:tc>
      </w:tr>
      <w:tr w:rsidR="00A84024" w:rsidRPr="00A84024" w14:paraId="7D87D2EA" w14:textId="77777777" w:rsidTr="00134A82">
        <w:tc>
          <w:tcPr>
            <w:tcW w:w="1208" w:type="dxa"/>
          </w:tcPr>
          <w:p w14:paraId="34EB4FAF" w14:textId="77777777" w:rsidR="00A84024" w:rsidRPr="00A84024" w:rsidRDefault="00A84024" w:rsidP="00A84024">
            <w:pPr>
              <w:pStyle w:val="TableBody1"/>
            </w:pPr>
            <w:r w:rsidRPr="00A84024">
              <w:t xml:space="preserve">STRING </w:t>
            </w:r>
          </w:p>
        </w:tc>
        <w:tc>
          <w:tcPr>
            <w:tcW w:w="5556" w:type="dxa"/>
          </w:tcPr>
          <w:p w14:paraId="425CCF41" w14:textId="77777777" w:rsidR="00A84024" w:rsidRPr="00A84024" w:rsidRDefault="00A84024" w:rsidP="00A84024">
            <w:pPr>
              <w:pStyle w:val="TableBody1"/>
            </w:pPr>
            <w:r w:rsidRPr="00A84024">
              <w:t>String</w:t>
            </w:r>
          </w:p>
        </w:tc>
      </w:tr>
    </w:tbl>
    <w:p w14:paraId="5DB93EDC" w14:textId="2F6CB265" w:rsidR="00FB0E98" w:rsidRDefault="00FB0E98">
      <w:pPr>
        <w:pStyle w:val="Appendix2"/>
      </w:pPr>
      <w:bookmarkStart w:id="4" w:name="_Toc4767829"/>
      <w:bookmarkStart w:id="5" w:name="_Toc4748891"/>
      <w:r>
        <w:t>Common</w:t>
      </w:r>
      <w:r w:rsidR="00C530D7">
        <w:t xml:space="preserve"> environment variables</w:t>
      </w:r>
      <w:bookmarkEnd w:id="4"/>
      <w:bookmarkEnd w:id="5"/>
    </w:p>
    <w:p w14:paraId="26AD78F5" w14:textId="77777777" w:rsidR="00FB0E98" w:rsidRDefault="00FB0E98" w:rsidP="00FB0E98">
      <w:pPr>
        <w:pStyle w:val="Body1"/>
      </w:pPr>
      <w:r>
        <w:t>Environment variables in this section apply to both the server side and the client side</w:t>
      </w:r>
    </w:p>
    <w:p w14:paraId="68060C38" w14:textId="77777777" w:rsidR="00FB0E98" w:rsidRDefault="00FB0E98" w:rsidP="00134A82">
      <w:pPr>
        <w:pStyle w:val="TableCode1"/>
      </w:pPr>
      <w:r>
        <w:t>DAOS_IO_BYPASS</w:t>
      </w:r>
    </w:p>
    <w:p w14:paraId="4B0FA98B" w14:textId="02BFD34E" w:rsidR="00FB0E98" w:rsidRDefault="00FB0E98">
      <w:pPr>
        <w:pStyle w:val="Appendix2"/>
      </w:pPr>
      <w:bookmarkStart w:id="6" w:name="_Toc4767830"/>
      <w:bookmarkStart w:id="7" w:name="_Toc4748892"/>
      <w:r>
        <w:t>Server</w:t>
      </w:r>
      <w:r w:rsidR="00C530D7">
        <w:t xml:space="preserve"> environment variables</w:t>
      </w:r>
      <w:bookmarkEnd w:id="6"/>
      <w:bookmarkEnd w:id="7"/>
    </w:p>
    <w:p w14:paraId="32E8143C" w14:textId="77777777" w:rsidR="00FB0E98" w:rsidRDefault="00FB0E98" w:rsidP="00FB0E98">
      <w:pPr>
        <w:pStyle w:val="Body1"/>
      </w:pPr>
      <w:r>
        <w:t>Environment variables in this section only apply to the server side.</w:t>
      </w:r>
    </w:p>
    <w:tbl>
      <w:tblPr>
        <w:tblStyle w:val="TableGrid"/>
        <w:tblW w:w="9463" w:type="dxa"/>
        <w:tblLook w:val="04A0" w:firstRow="1" w:lastRow="0" w:firstColumn="1" w:lastColumn="0" w:noHBand="0" w:noVBand="1"/>
      </w:tblPr>
      <w:tblGrid>
        <w:gridCol w:w="2658"/>
        <w:gridCol w:w="6805"/>
      </w:tblGrid>
      <w:tr w:rsidR="00134A82" w:rsidRPr="00134A82" w14:paraId="4B68BA8E" w14:textId="77777777" w:rsidTr="00134A82">
        <w:trPr>
          <w:cnfStyle w:val="100000000000" w:firstRow="1" w:lastRow="0" w:firstColumn="0" w:lastColumn="0" w:oddVBand="0" w:evenVBand="0" w:oddHBand="0" w:evenHBand="0" w:firstRowFirstColumn="0" w:firstRowLastColumn="0" w:lastRowFirstColumn="0" w:lastRowLastColumn="0"/>
          <w:tblHeader/>
        </w:trPr>
        <w:tc>
          <w:tcPr>
            <w:tcW w:w="2658" w:type="dxa"/>
          </w:tcPr>
          <w:p w14:paraId="0E6DCD8B" w14:textId="1F1064FC" w:rsidR="00134A82" w:rsidRPr="00134A82" w:rsidRDefault="00134A82" w:rsidP="00134A82">
            <w:pPr>
              <w:pStyle w:val="TableHeading"/>
            </w:pPr>
            <w:r>
              <w:t>Variable</w:t>
            </w:r>
          </w:p>
        </w:tc>
        <w:tc>
          <w:tcPr>
            <w:tcW w:w="6805" w:type="dxa"/>
          </w:tcPr>
          <w:p w14:paraId="257317E7" w14:textId="52FEDE0E" w:rsidR="00134A82" w:rsidRPr="00134A82" w:rsidRDefault="00134A82" w:rsidP="00134A82">
            <w:pPr>
              <w:pStyle w:val="TableHeading"/>
            </w:pPr>
            <w:r>
              <w:t>Description</w:t>
            </w:r>
          </w:p>
        </w:tc>
      </w:tr>
      <w:tr w:rsidR="00134A82" w:rsidRPr="00134A82" w14:paraId="1B867896" w14:textId="77777777" w:rsidTr="00134A82">
        <w:tc>
          <w:tcPr>
            <w:tcW w:w="2658" w:type="dxa"/>
          </w:tcPr>
          <w:p w14:paraId="17B588A4" w14:textId="71323CA2" w:rsidR="00134A82" w:rsidRPr="00134A82" w:rsidRDefault="00134A82" w:rsidP="00134A82">
            <w:pPr>
              <w:pStyle w:val="TableBody1"/>
            </w:pPr>
            <w:r w:rsidRPr="00134A82">
              <w:t>VOS_CHECKSUM</w:t>
            </w:r>
          </w:p>
        </w:tc>
        <w:tc>
          <w:tcPr>
            <w:tcW w:w="6805" w:type="dxa"/>
          </w:tcPr>
          <w:p w14:paraId="2A47B20D" w14:textId="561AA47F" w:rsidR="00134A82" w:rsidRPr="00134A82" w:rsidRDefault="00134A82" w:rsidP="00C530D7">
            <w:pPr>
              <w:pStyle w:val="TableBody1"/>
            </w:pPr>
            <w:r w:rsidRPr="00134A82">
              <w:t>Checksum algorithm used by VOS. STRING. Default to disabling checksums. The</w:t>
            </w:r>
            <w:r w:rsidR="00C530D7">
              <w:t xml:space="preserve"> following </w:t>
            </w:r>
            <w:r w:rsidRPr="00134A82">
              <w:t xml:space="preserve">checksum algorithms </w:t>
            </w:r>
            <w:r w:rsidRPr="009E5348">
              <w:rPr>
                <w:noProof/>
              </w:rPr>
              <w:t>are supported</w:t>
            </w:r>
            <w:r w:rsidRPr="00134A82">
              <w:t>: crc64 and crc32.</w:t>
            </w:r>
          </w:p>
        </w:tc>
      </w:tr>
      <w:tr w:rsidR="00134A82" w:rsidRPr="00134A82" w14:paraId="587DB7E5" w14:textId="77777777" w:rsidTr="00134A82">
        <w:tc>
          <w:tcPr>
            <w:tcW w:w="2658" w:type="dxa"/>
          </w:tcPr>
          <w:p w14:paraId="0BC9B7ED" w14:textId="77777777" w:rsidR="00134A82" w:rsidRPr="00134A82" w:rsidRDefault="00134A82" w:rsidP="00134A82">
            <w:pPr>
              <w:pStyle w:val="TableBody1"/>
            </w:pPr>
            <w:r w:rsidRPr="00134A82">
              <w:t>VOS_MEM_CLASS</w:t>
            </w:r>
          </w:p>
        </w:tc>
        <w:tc>
          <w:tcPr>
            <w:tcW w:w="6805" w:type="dxa"/>
          </w:tcPr>
          <w:p w14:paraId="54A1A682" w14:textId="0D8C4CCE" w:rsidR="00134A82" w:rsidRPr="00134A82" w:rsidRDefault="00134A82" w:rsidP="00C530D7">
            <w:pPr>
              <w:pStyle w:val="TableBody1"/>
            </w:pPr>
            <w:r w:rsidRPr="00134A82">
              <w:t xml:space="preserve">Memory class used by VOS. STRING. Default to persistent memory. If the value </w:t>
            </w:r>
            <w:r w:rsidRPr="009E5348">
              <w:rPr>
                <w:noProof/>
              </w:rPr>
              <w:t>is set</w:t>
            </w:r>
            <w:r w:rsidRPr="00134A82">
              <w:t xml:space="preserve"> to DRAM, all data </w:t>
            </w:r>
            <w:r w:rsidR="00C530D7" w:rsidRPr="009E5348">
              <w:rPr>
                <w:noProof/>
              </w:rPr>
              <w:t>is</w:t>
            </w:r>
            <w:r w:rsidRPr="009E5348">
              <w:rPr>
                <w:noProof/>
              </w:rPr>
              <w:t xml:space="preserve"> stored</w:t>
            </w:r>
            <w:r w:rsidRPr="00134A82">
              <w:t xml:space="preserve"> in volatile memory; otherwise, all data </w:t>
            </w:r>
            <w:r w:rsidR="00C530D7" w:rsidRPr="009E5348">
              <w:rPr>
                <w:noProof/>
              </w:rPr>
              <w:t>is</w:t>
            </w:r>
            <w:r w:rsidRPr="009E5348">
              <w:rPr>
                <w:noProof/>
              </w:rPr>
              <w:t xml:space="preserve"> stored</w:t>
            </w:r>
            <w:r w:rsidRPr="00134A82">
              <w:t xml:space="preserve"> </w:t>
            </w:r>
            <w:r w:rsidR="00C530D7">
              <w:rPr>
                <w:noProof/>
              </w:rPr>
              <w:t>in</w:t>
            </w:r>
            <w:r w:rsidRPr="00134A82">
              <w:t xml:space="preserve"> persistent memory.</w:t>
            </w:r>
          </w:p>
        </w:tc>
      </w:tr>
      <w:tr w:rsidR="00134A82" w:rsidRPr="00134A82" w14:paraId="7FE8CB4C" w14:textId="77777777" w:rsidTr="00134A82">
        <w:tc>
          <w:tcPr>
            <w:tcW w:w="2658" w:type="dxa"/>
          </w:tcPr>
          <w:p w14:paraId="6A04B0E5" w14:textId="77777777" w:rsidR="00134A82" w:rsidRPr="00134A82" w:rsidRDefault="00134A82" w:rsidP="00134A82">
            <w:pPr>
              <w:pStyle w:val="TableBody1"/>
            </w:pPr>
            <w:r w:rsidRPr="00134A82">
              <w:t>RDB_ELECTION_TIMEOUT</w:t>
            </w:r>
          </w:p>
        </w:tc>
        <w:tc>
          <w:tcPr>
            <w:tcW w:w="6805" w:type="dxa"/>
          </w:tcPr>
          <w:p w14:paraId="51031FD3" w14:textId="77777777" w:rsidR="00134A82" w:rsidRPr="00134A82" w:rsidRDefault="00134A82" w:rsidP="00134A82">
            <w:pPr>
              <w:pStyle w:val="TableBody1"/>
            </w:pPr>
            <w:r w:rsidRPr="00134A82">
              <w:t>Raft election timeout used by RDBs in milliseconds. INTEGER. Default to 7000 ms.</w:t>
            </w:r>
          </w:p>
        </w:tc>
      </w:tr>
      <w:tr w:rsidR="00134A82" w:rsidRPr="00134A82" w14:paraId="50F64FB7" w14:textId="77777777" w:rsidTr="00134A82">
        <w:tc>
          <w:tcPr>
            <w:tcW w:w="2658" w:type="dxa"/>
          </w:tcPr>
          <w:p w14:paraId="20CC2729" w14:textId="77777777" w:rsidR="00134A82" w:rsidRPr="00134A82" w:rsidRDefault="00134A82" w:rsidP="00134A82">
            <w:pPr>
              <w:pStyle w:val="TableBody1"/>
            </w:pPr>
            <w:r w:rsidRPr="00134A82">
              <w:t>RDB_REQUEST_TIMEOUT</w:t>
            </w:r>
          </w:p>
        </w:tc>
        <w:tc>
          <w:tcPr>
            <w:tcW w:w="6805" w:type="dxa"/>
          </w:tcPr>
          <w:p w14:paraId="53070FCF" w14:textId="77777777" w:rsidR="00134A82" w:rsidRPr="00134A82" w:rsidRDefault="00134A82" w:rsidP="00134A82">
            <w:pPr>
              <w:pStyle w:val="TableBody1"/>
            </w:pPr>
            <w:r w:rsidRPr="00134A82">
              <w:t>Raft request timeout used by RDBs in milliseconds. INTEGER. Default to 3000 ms.</w:t>
            </w:r>
          </w:p>
        </w:tc>
      </w:tr>
      <w:tr w:rsidR="00134A82" w:rsidRPr="00134A82" w14:paraId="0B14EF83" w14:textId="77777777" w:rsidTr="00134A82">
        <w:tc>
          <w:tcPr>
            <w:tcW w:w="2658" w:type="dxa"/>
          </w:tcPr>
          <w:p w14:paraId="145CFF51" w14:textId="77777777" w:rsidR="00134A82" w:rsidRPr="00134A82" w:rsidRDefault="00134A82" w:rsidP="00134A82">
            <w:pPr>
              <w:pStyle w:val="TableBody1"/>
            </w:pPr>
            <w:r w:rsidRPr="00134A82">
              <w:t>DAOS_REBUILD</w:t>
            </w:r>
          </w:p>
        </w:tc>
        <w:tc>
          <w:tcPr>
            <w:tcW w:w="6805" w:type="dxa"/>
          </w:tcPr>
          <w:p w14:paraId="4EBB861D" w14:textId="03F40EA7" w:rsidR="00134A82" w:rsidRPr="00134A82" w:rsidRDefault="00C530D7" w:rsidP="00134A82">
            <w:pPr>
              <w:pStyle w:val="TableBody1"/>
            </w:pPr>
            <w:r w:rsidRPr="00C530D7">
              <w:rPr>
                <w:noProof/>
              </w:rPr>
              <w:t>Deter</w:t>
            </w:r>
            <w:r>
              <w:rPr>
                <w:noProof/>
              </w:rPr>
              <w:t>mines w</w:t>
            </w:r>
            <w:r w:rsidR="00134A82" w:rsidRPr="00C530D7">
              <w:rPr>
                <w:noProof/>
              </w:rPr>
              <w:t>hether to start rebuilds when excluding targets.</w:t>
            </w:r>
            <w:r w:rsidR="00134A82" w:rsidRPr="00134A82">
              <w:t xml:space="preserve"> BOOL2. Default to true.</w:t>
            </w:r>
          </w:p>
        </w:tc>
      </w:tr>
      <w:tr w:rsidR="00134A82" w:rsidRPr="00134A82" w14:paraId="6637E66F" w14:textId="77777777" w:rsidTr="00134A82">
        <w:tc>
          <w:tcPr>
            <w:tcW w:w="2658" w:type="dxa"/>
          </w:tcPr>
          <w:p w14:paraId="3D353A6C" w14:textId="77777777" w:rsidR="00134A82" w:rsidRPr="00134A82" w:rsidRDefault="00134A82" w:rsidP="00134A82">
            <w:pPr>
              <w:pStyle w:val="TableBody1"/>
            </w:pPr>
            <w:r w:rsidRPr="00134A82">
              <w:t>DAOS_MD_CAP</w:t>
            </w:r>
          </w:p>
        </w:tc>
        <w:tc>
          <w:tcPr>
            <w:tcW w:w="6805" w:type="dxa"/>
          </w:tcPr>
          <w:p w14:paraId="3E0F262A" w14:textId="77777777" w:rsidR="00134A82" w:rsidRPr="00134A82" w:rsidRDefault="00134A82" w:rsidP="00134A82">
            <w:pPr>
              <w:pStyle w:val="TableBody1"/>
            </w:pPr>
            <w:r w:rsidRPr="00134A82">
              <w:t xml:space="preserve">Size of a metadata </w:t>
            </w:r>
            <w:r w:rsidRPr="009E5348">
              <w:rPr>
                <w:noProof/>
              </w:rPr>
              <w:t>pmem</w:t>
            </w:r>
            <w:r w:rsidRPr="00134A82">
              <w:t xml:space="preserve"> pool/file in MBs. INTEGER. Default to 128 MB.</w:t>
            </w:r>
          </w:p>
        </w:tc>
      </w:tr>
      <w:tr w:rsidR="00134A82" w:rsidRPr="00134A82" w14:paraId="676A90D2" w14:textId="77777777" w:rsidTr="00134A82">
        <w:tc>
          <w:tcPr>
            <w:tcW w:w="2658" w:type="dxa"/>
          </w:tcPr>
          <w:p w14:paraId="09900D9D" w14:textId="77777777" w:rsidR="00134A82" w:rsidRPr="00134A82" w:rsidRDefault="00134A82" w:rsidP="00134A82">
            <w:pPr>
              <w:pStyle w:val="TableBody1"/>
            </w:pPr>
            <w:r w:rsidRPr="00134A82">
              <w:t>DAOS_START_POOL_SVC</w:t>
            </w:r>
          </w:p>
        </w:tc>
        <w:tc>
          <w:tcPr>
            <w:tcW w:w="6805" w:type="dxa"/>
          </w:tcPr>
          <w:p w14:paraId="7666F8FA" w14:textId="33E902D5" w:rsidR="00134A82" w:rsidRPr="00134A82" w:rsidRDefault="00C530D7" w:rsidP="00134A82">
            <w:pPr>
              <w:pStyle w:val="TableBody1"/>
            </w:pPr>
            <w:r w:rsidRPr="00C530D7">
              <w:rPr>
                <w:noProof/>
              </w:rPr>
              <w:t>D</w:t>
            </w:r>
            <w:r>
              <w:rPr>
                <w:noProof/>
              </w:rPr>
              <w:t>etermines w</w:t>
            </w:r>
            <w:r w:rsidR="00134A82" w:rsidRPr="00C530D7">
              <w:rPr>
                <w:noProof/>
              </w:rPr>
              <w:t>hether to start existing pool services when starting a daos_server.</w:t>
            </w:r>
            <w:r w:rsidR="00134A82" w:rsidRPr="00134A82">
              <w:t xml:space="preserve"> </w:t>
            </w:r>
            <w:r w:rsidR="00134A82" w:rsidRPr="002E45A1">
              <w:rPr>
                <w:noProof/>
              </w:rPr>
              <w:t>BOOL.</w:t>
            </w:r>
            <w:r w:rsidR="00134A82" w:rsidRPr="00134A82">
              <w:t xml:space="preserve"> Default to true.</w:t>
            </w:r>
          </w:p>
        </w:tc>
      </w:tr>
      <w:tr w:rsidR="00134A82" w:rsidRPr="00134A82" w14:paraId="025EA5A1" w14:textId="77777777" w:rsidTr="00134A82">
        <w:tc>
          <w:tcPr>
            <w:tcW w:w="2658" w:type="dxa"/>
          </w:tcPr>
          <w:p w14:paraId="7E42A7D2" w14:textId="77777777" w:rsidR="00134A82" w:rsidRPr="00134A82" w:rsidRDefault="00134A82" w:rsidP="00134A82">
            <w:pPr>
              <w:pStyle w:val="TableBody1"/>
            </w:pPr>
            <w:r w:rsidRPr="00134A82">
              <w:t>DAOS_IMPLICIT_PURGE</w:t>
            </w:r>
          </w:p>
        </w:tc>
        <w:tc>
          <w:tcPr>
            <w:tcW w:w="6805" w:type="dxa"/>
          </w:tcPr>
          <w:p w14:paraId="5E2D13D4" w14:textId="77777777" w:rsidR="00134A82" w:rsidRPr="00134A82" w:rsidRDefault="00134A82" w:rsidP="00134A82">
            <w:pPr>
              <w:pStyle w:val="TableBody1"/>
            </w:pPr>
            <w:r w:rsidRPr="00134A82">
              <w:t xml:space="preserve">Whether to aggregate unreferenced epochs. </w:t>
            </w:r>
            <w:r w:rsidRPr="002E45A1">
              <w:rPr>
                <w:noProof/>
              </w:rPr>
              <w:t>BOOL.</w:t>
            </w:r>
            <w:r w:rsidRPr="00134A82">
              <w:t xml:space="preserve"> Default to false.</w:t>
            </w:r>
          </w:p>
        </w:tc>
      </w:tr>
      <w:tr w:rsidR="00134A82" w:rsidRPr="00134A82" w14:paraId="487EDDD8" w14:textId="77777777" w:rsidTr="00134A82">
        <w:tc>
          <w:tcPr>
            <w:tcW w:w="2658" w:type="dxa"/>
          </w:tcPr>
          <w:p w14:paraId="0404BD66" w14:textId="77777777" w:rsidR="00134A82" w:rsidRPr="00134A82" w:rsidRDefault="00134A82" w:rsidP="00134A82">
            <w:pPr>
              <w:pStyle w:val="TableBody1"/>
            </w:pPr>
            <w:r w:rsidRPr="00134A82">
              <w:t>DAOS_PURGE_CREDITS</w:t>
            </w:r>
          </w:p>
        </w:tc>
        <w:tc>
          <w:tcPr>
            <w:tcW w:w="6805" w:type="dxa"/>
          </w:tcPr>
          <w:p w14:paraId="44E2B677" w14:textId="3F1FF34B" w:rsidR="00134A82" w:rsidRPr="00134A82" w:rsidRDefault="002E45A1" w:rsidP="00134A82">
            <w:pPr>
              <w:pStyle w:val="TableBody1"/>
            </w:pPr>
            <w:r>
              <w:rPr>
                <w:noProof/>
              </w:rPr>
              <w:t>The n</w:t>
            </w:r>
            <w:r w:rsidR="00134A82" w:rsidRPr="002E45A1">
              <w:rPr>
                <w:noProof/>
              </w:rPr>
              <w:t>umber</w:t>
            </w:r>
            <w:r w:rsidR="00134A82" w:rsidRPr="00134A82">
              <w:t xml:space="preserve"> of credits for probing object trees when aggregating unreferenced epochs. </w:t>
            </w:r>
            <w:r w:rsidR="00134A82" w:rsidRPr="002E45A1">
              <w:rPr>
                <w:noProof/>
              </w:rPr>
              <w:t>INT</w:t>
            </w:r>
            <w:r w:rsidRPr="002E45A1">
              <w:rPr>
                <w:noProof/>
              </w:rPr>
              <w:t>E</w:t>
            </w:r>
            <w:r w:rsidR="00134A82" w:rsidRPr="002E45A1">
              <w:rPr>
                <w:noProof/>
              </w:rPr>
              <w:t>GER</w:t>
            </w:r>
            <w:r w:rsidR="00134A82" w:rsidRPr="00134A82">
              <w:t>. Default to 1000.</w:t>
            </w:r>
          </w:p>
        </w:tc>
      </w:tr>
    </w:tbl>
    <w:p w14:paraId="7A1BC9DF" w14:textId="77777777" w:rsidR="00FB0E98" w:rsidRDefault="00FB0E98">
      <w:pPr>
        <w:pStyle w:val="Appendix2"/>
      </w:pPr>
      <w:bookmarkStart w:id="8" w:name="_Toc4767831"/>
      <w:bookmarkStart w:id="9" w:name="_Toc4748893"/>
      <w:r>
        <w:lastRenderedPageBreak/>
        <w:t>Client</w:t>
      </w:r>
      <w:bookmarkEnd w:id="8"/>
      <w:bookmarkEnd w:id="9"/>
    </w:p>
    <w:p w14:paraId="171C6B59" w14:textId="77777777" w:rsidR="00FB0E98" w:rsidRDefault="00FB0E98" w:rsidP="00FB0E98">
      <w:pPr>
        <w:pStyle w:val="Body1"/>
      </w:pPr>
      <w:r>
        <w:t>Environment variables in this section only apply to the client side.</w:t>
      </w:r>
    </w:p>
    <w:tbl>
      <w:tblPr>
        <w:tblStyle w:val="TableGrid"/>
        <w:tblW w:w="9463" w:type="dxa"/>
        <w:tblLook w:val="04A0" w:firstRow="1" w:lastRow="0" w:firstColumn="1" w:lastColumn="0" w:noHBand="0" w:noVBand="1"/>
      </w:tblPr>
      <w:tblGrid>
        <w:gridCol w:w="2462"/>
        <w:gridCol w:w="7001"/>
      </w:tblGrid>
      <w:tr w:rsidR="00134A82" w:rsidRPr="00134A82" w14:paraId="6CC07806" w14:textId="77777777" w:rsidTr="00075984">
        <w:trPr>
          <w:cnfStyle w:val="100000000000" w:firstRow="1" w:lastRow="0" w:firstColumn="0" w:lastColumn="0" w:oddVBand="0" w:evenVBand="0" w:oddHBand="0" w:evenHBand="0" w:firstRowFirstColumn="0" w:firstRowLastColumn="0" w:lastRowFirstColumn="0" w:lastRowLastColumn="0"/>
        </w:trPr>
        <w:tc>
          <w:tcPr>
            <w:tcW w:w="2462" w:type="dxa"/>
          </w:tcPr>
          <w:p w14:paraId="02C108F3" w14:textId="77777777" w:rsidR="00134A82" w:rsidRPr="00134A82" w:rsidRDefault="00134A82" w:rsidP="00134A82">
            <w:pPr>
              <w:pStyle w:val="TableHeading"/>
            </w:pPr>
            <w:r w:rsidRPr="00134A82">
              <w:t>Variable</w:t>
            </w:r>
          </w:p>
        </w:tc>
        <w:tc>
          <w:tcPr>
            <w:tcW w:w="7001" w:type="dxa"/>
          </w:tcPr>
          <w:p w14:paraId="428112F1" w14:textId="77777777" w:rsidR="00134A82" w:rsidRPr="00134A82" w:rsidRDefault="00134A82" w:rsidP="00134A82">
            <w:pPr>
              <w:pStyle w:val="TableHeading"/>
            </w:pPr>
            <w:r w:rsidRPr="00134A82">
              <w:t>Description</w:t>
            </w:r>
          </w:p>
        </w:tc>
      </w:tr>
      <w:tr w:rsidR="00134A82" w:rsidRPr="00134A82" w14:paraId="529FB5A4" w14:textId="77777777" w:rsidTr="00075984">
        <w:tc>
          <w:tcPr>
            <w:tcW w:w="2462" w:type="dxa"/>
          </w:tcPr>
          <w:p w14:paraId="2EC9722C" w14:textId="77777777" w:rsidR="00134A82" w:rsidRPr="00134A82" w:rsidRDefault="00134A82" w:rsidP="00134A82">
            <w:pPr>
              <w:pStyle w:val="Body1"/>
            </w:pPr>
            <w:r w:rsidRPr="00134A82">
              <w:t>DAOS_SINGLETON_CLI</w:t>
            </w:r>
          </w:p>
        </w:tc>
        <w:tc>
          <w:tcPr>
            <w:tcW w:w="7001" w:type="dxa"/>
          </w:tcPr>
          <w:p w14:paraId="012DBC5C" w14:textId="3593BF43" w:rsidR="00134A82" w:rsidRPr="00134A82" w:rsidRDefault="002E45A1" w:rsidP="00134A82">
            <w:pPr>
              <w:pStyle w:val="Body1"/>
            </w:pPr>
            <w:r w:rsidRPr="002E45A1">
              <w:rPr>
                <w:noProof/>
              </w:rPr>
              <w:t>Determine</w:t>
            </w:r>
            <w:r>
              <w:rPr>
                <w:noProof/>
              </w:rPr>
              <w:t>s</w:t>
            </w:r>
            <w:r w:rsidRPr="002E45A1">
              <w:rPr>
                <w:noProof/>
              </w:rPr>
              <w:t xml:space="preserve"> w</w:t>
            </w:r>
            <w:r w:rsidR="00134A82" w:rsidRPr="002E45A1">
              <w:rPr>
                <w:noProof/>
              </w:rPr>
              <w:t>hether to run in the singleton mode, in which the client does not need to be launched by orterun.</w:t>
            </w:r>
            <w:r w:rsidR="00134A82" w:rsidRPr="00134A82">
              <w:t xml:space="preserve"> </w:t>
            </w:r>
            <w:r w:rsidR="00134A82" w:rsidRPr="002E45A1">
              <w:rPr>
                <w:noProof/>
              </w:rPr>
              <w:t>BOOL.</w:t>
            </w:r>
            <w:r w:rsidR="00134A82" w:rsidRPr="00134A82">
              <w:t xml:space="preserve"> Default to false.</w:t>
            </w:r>
          </w:p>
        </w:tc>
      </w:tr>
    </w:tbl>
    <w:p w14:paraId="18E7DB47" w14:textId="77777777" w:rsidR="00FB0E98" w:rsidRDefault="00FB0E98">
      <w:pPr>
        <w:pStyle w:val="Appendix2"/>
      </w:pPr>
      <w:bookmarkStart w:id="10" w:name="_Toc4767832"/>
      <w:bookmarkStart w:id="11" w:name="_Toc4748894"/>
      <w:r>
        <w:t>Debug System (Client &amp; Server)</w:t>
      </w:r>
      <w:bookmarkEnd w:id="10"/>
      <w:bookmarkEnd w:id="11"/>
    </w:p>
    <w:tbl>
      <w:tblPr>
        <w:tblStyle w:val="TableGrid"/>
        <w:tblW w:w="9463" w:type="dxa"/>
        <w:tblLook w:val="04A0" w:firstRow="1" w:lastRow="0" w:firstColumn="1" w:lastColumn="0" w:noHBand="0" w:noVBand="1"/>
      </w:tblPr>
      <w:tblGrid>
        <w:gridCol w:w="1602"/>
        <w:gridCol w:w="7861"/>
      </w:tblGrid>
      <w:tr w:rsidR="00075984" w:rsidRPr="00075984" w14:paraId="516FA33B" w14:textId="77777777" w:rsidTr="00075984">
        <w:trPr>
          <w:cnfStyle w:val="100000000000" w:firstRow="1" w:lastRow="0" w:firstColumn="0" w:lastColumn="0" w:oddVBand="0" w:evenVBand="0" w:oddHBand="0" w:evenHBand="0" w:firstRowFirstColumn="0" w:firstRowLastColumn="0" w:lastRowFirstColumn="0" w:lastRowLastColumn="0"/>
        </w:trPr>
        <w:tc>
          <w:tcPr>
            <w:tcW w:w="1602" w:type="dxa"/>
          </w:tcPr>
          <w:p w14:paraId="186E6009" w14:textId="77777777" w:rsidR="00075984" w:rsidRPr="00075984" w:rsidRDefault="00075984" w:rsidP="00075984">
            <w:pPr>
              <w:pStyle w:val="TableHeading"/>
            </w:pPr>
            <w:r w:rsidRPr="00075984">
              <w:t>Variable</w:t>
            </w:r>
          </w:p>
        </w:tc>
        <w:tc>
          <w:tcPr>
            <w:tcW w:w="7861" w:type="dxa"/>
          </w:tcPr>
          <w:p w14:paraId="5D66F270" w14:textId="77777777" w:rsidR="00075984" w:rsidRPr="00075984" w:rsidRDefault="00075984" w:rsidP="00075984">
            <w:pPr>
              <w:pStyle w:val="TableHeading"/>
            </w:pPr>
            <w:r w:rsidRPr="00075984">
              <w:t>Description</w:t>
            </w:r>
          </w:p>
        </w:tc>
      </w:tr>
      <w:tr w:rsidR="00075984" w:rsidRPr="00075984" w14:paraId="21BC5FAD" w14:textId="77777777" w:rsidTr="00075984">
        <w:tc>
          <w:tcPr>
            <w:tcW w:w="1602" w:type="dxa"/>
          </w:tcPr>
          <w:p w14:paraId="42D5E187" w14:textId="77777777" w:rsidR="00075984" w:rsidRPr="00075984" w:rsidRDefault="00075984" w:rsidP="00075984">
            <w:pPr>
              <w:pStyle w:val="TableBody1"/>
            </w:pPr>
            <w:r w:rsidRPr="00075984">
              <w:t>D_LOG_FILE</w:t>
            </w:r>
          </w:p>
        </w:tc>
        <w:tc>
          <w:tcPr>
            <w:tcW w:w="7861" w:type="dxa"/>
          </w:tcPr>
          <w:p w14:paraId="2239E2BE" w14:textId="5AFA1D84" w:rsidR="00075984" w:rsidRPr="00075984" w:rsidRDefault="00075984" w:rsidP="002E45A1">
            <w:pPr>
              <w:pStyle w:val="TableBody1"/>
            </w:pPr>
            <w:r w:rsidRPr="00075984">
              <w:t xml:space="preserve">DAOS debug logs (both server and client) are written to /tmp/daos.log by default. </w:t>
            </w:r>
            <w:r w:rsidR="002E45A1">
              <w:rPr>
                <w:noProof/>
              </w:rPr>
              <w:t>The debug location</w:t>
            </w:r>
            <w:r w:rsidRPr="00075984">
              <w:t xml:space="preserve"> can </w:t>
            </w:r>
            <w:r w:rsidRPr="002E45A1">
              <w:rPr>
                <w:noProof/>
              </w:rPr>
              <w:t>be modified</w:t>
            </w:r>
            <w:r w:rsidRPr="00075984">
              <w:t xml:space="preserve"> by setting this environment variable ("D_LOG_FILE=/tmp/daos_server").</w:t>
            </w:r>
          </w:p>
        </w:tc>
      </w:tr>
      <w:tr w:rsidR="00075984" w:rsidRPr="00075984" w14:paraId="0597E03C" w14:textId="77777777" w:rsidTr="00075984">
        <w:tc>
          <w:tcPr>
            <w:tcW w:w="1602" w:type="dxa"/>
          </w:tcPr>
          <w:p w14:paraId="52AF42B8" w14:textId="77777777" w:rsidR="00075984" w:rsidRPr="00075984" w:rsidRDefault="00075984" w:rsidP="00075984">
            <w:pPr>
              <w:pStyle w:val="TableBody1"/>
            </w:pPr>
            <w:r w:rsidRPr="00075984">
              <w:t>DD_SUBSYS</w:t>
            </w:r>
          </w:p>
        </w:tc>
        <w:tc>
          <w:tcPr>
            <w:tcW w:w="7861" w:type="dxa"/>
          </w:tcPr>
          <w:p w14:paraId="289F62A3" w14:textId="77777777" w:rsidR="00075984" w:rsidRPr="00075984" w:rsidRDefault="00075984" w:rsidP="00075984">
            <w:pPr>
              <w:pStyle w:val="TableBody1"/>
            </w:pPr>
            <w:r w:rsidRPr="00075984">
              <w:t xml:space="preserve">Used to specify which subsystems to enable. DD_SUBSYS can be set to individual subsystems for finer-grained debugging ("DD_SUBSYS=vos"), multiple facilities ("DD_SUBSYS=eio,mgmt,misc,mem"), or all facilities ("DD_SUBSYS=all") which is also the default setting. If a facility is not enabled, then only ERR messages or more severe messages </w:t>
            </w:r>
            <w:r w:rsidRPr="002E45A1">
              <w:rPr>
                <w:noProof/>
              </w:rPr>
              <w:t>will print</w:t>
            </w:r>
            <w:r w:rsidRPr="00075984">
              <w:t>.</w:t>
            </w:r>
          </w:p>
        </w:tc>
      </w:tr>
      <w:tr w:rsidR="00075984" w:rsidRPr="00075984" w14:paraId="1C3A1EA5" w14:textId="77777777" w:rsidTr="00075984">
        <w:tc>
          <w:tcPr>
            <w:tcW w:w="1602" w:type="dxa"/>
          </w:tcPr>
          <w:p w14:paraId="2E82092F" w14:textId="77777777" w:rsidR="00075984" w:rsidRPr="00075984" w:rsidRDefault="00075984" w:rsidP="00075984">
            <w:pPr>
              <w:pStyle w:val="TableBody1"/>
            </w:pPr>
            <w:r w:rsidRPr="00075984">
              <w:t>DD_STDERR</w:t>
            </w:r>
          </w:p>
        </w:tc>
        <w:tc>
          <w:tcPr>
            <w:tcW w:w="7861" w:type="dxa"/>
          </w:tcPr>
          <w:p w14:paraId="4DA70A11" w14:textId="77777777" w:rsidR="00075984" w:rsidRPr="00075984" w:rsidRDefault="00075984" w:rsidP="00075984">
            <w:pPr>
              <w:pStyle w:val="TableBody1"/>
            </w:pPr>
            <w:r w:rsidRPr="00075984">
              <w:t xml:space="preserve">Used to specify the priority level to output to stderr. Options in decreasing priority level order: FATAL, CRIT, ERR, WARN, NOTE, INFO, DEBUG. By default, all CRIT and more severe DAOS messages </w:t>
            </w:r>
            <w:r w:rsidRPr="002E45A1">
              <w:rPr>
                <w:noProof/>
              </w:rPr>
              <w:t>will log</w:t>
            </w:r>
            <w:r w:rsidRPr="00075984">
              <w:t xml:space="preserve"> to stderr ("DD_STDERR=CRIT"), and the default for CaRT/GURT is FATAL.</w:t>
            </w:r>
          </w:p>
        </w:tc>
      </w:tr>
      <w:tr w:rsidR="00075984" w:rsidRPr="00075984" w14:paraId="68E520FD" w14:textId="77777777" w:rsidTr="00075984">
        <w:tc>
          <w:tcPr>
            <w:tcW w:w="1602" w:type="dxa"/>
          </w:tcPr>
          <w:p w14:paraId="7CB66C11" w14:textId="77777777" w:rsidR="00075984" w:rsidRPr="00075984" w:rsidRDefault="00075984" w:rsidP="00075984">
            <w:pPr>
              <w:pStyle w:val="TableBody1"/>
            </w:pPr>
            <w:r w:rsidRPr="00075984">
              <w:t>D_LOG_MASK</w:t>
            </w:r>
          </w:p>
        </w:tc>
        <w:tc>
          <w:tcPr>
            <w:tcW w:w="7861" w:type="dxa"/>
          </w:tcPr>
          <w:p w14:paraId="7D5CB6FE" w14:textId="1D6453CB" w:rsidR="00075984" w:rsidRPr="00075984" w:rsidRDefault="00075984" w:rsidP="00075984">
            <w:pPr>
              <w:pStyle w:val="TableBody1"/>
            </w:pPr>
            <w:r w:rsidRPr="00075984">
              <w:t xml:space="preserve">Used to specify what type/level of logging </w:t>
            </w:r>
            <w:r w:rsidRPr="002E45A1">
              <w:rPr>
                <w:noProof/>
              </w:rPr>
              <w:t>will be</w:t>
            </w:r>
            <w:r w:rsidRPr="00075984">
              <w:t xml:space="preserve"> present for either all of the registered </w:t>
            </w:r>
            <w:r w:rsidRPr="002E45A1">
              <w:rPr>
                <w:noProof/>
              </w:rPr>
              <w:t>subsystems</w:t>
            </w:r>
            <w:r w:rsidRPr="00075984">
              <w:t xml:space="preserve"> or a select few. Options in decreasing priority level order: FATAL, CRIT, ERR, WARN, NOTE, INFO, DEBUG. DEBUG option is used to enable all logging (debug messages as well as all higher priority level messages). Note that if D_LOG_MASK </w:t>
            </w:r>
            <w:r w:rsidRPr="002E45A1">
              <w:rPr>
                <w:noProof/>
              </w:rPr>
              <w:t>is not set</w:t>
            </w:r>
            <w:r w:rsidRPr="00075984">
              <w:t xml:space="preserve">, it </w:t>
            </w:r>
            <w:r w:rsidRPr="002E45A1">
              <w:rPr>
                <w:noProof/>
              </w:rPr>
              <w:t>will default</w:t>
            </w:r>
            <w:r w:rsidRPr="00075984">
              <w:t xml:space="preserve"> to logging all messages excluding debug ("D_LOG_MASK=INFO"). EX: "D_LOG_MASK=DEBUG" This will set the logging level for all facilities to DEBUG, meaning that all debug messages, as well as higher priority messages </w:t>
            </w:r>
            <w:r w:rsidRPr="002E45A1">
              <w:rPr>
                <w:noProof/>
              </w:rPr>
              <w:t>will be</w:t>
            </w:r>
            <w:r w:rsidRPr="00075984">
              <w:t xml:space="preserve"> logged (INFO, NOTE, WARN, ERR, CRIT, FATAL) EX: "D_LOG_MASK=DEBUG</w:t>
            </w:r>
            <w:r w:rsidRPr="002E45A1">
              <w:rPr>
                <w:noProof/>
              </w:rPr>
              <w:t>,MEM=ERR,RPC=ERR</w:t>
            </w:r>
            <w:r w:rsidRPr="00075984">
              <w:t xml:space="preserve">" This </w:t>
            </w:r>
            <w:r w:rsidRPr="002E45A1">
              <w:rPr>
                <w:noProof/>
              </w:rPr>
              <w:t>will set</w:t>
            </w:r>
            <w:r w:rsidRPr="00075984">
              <w:t xml:space="preserve"> the logging level to DEBUG for all facilities except MEM &amp; RPC (which will now only log ERR and higher priority level messages, skipping all DEBUG, INFO, NOTE &amp; WARN messages)</w:t>
            </w:r>
          </w:p>
        </w:tc>
      </w:tr>
      <w:tr w:rsidR="00075984" w:rsidRPr="004E30B3" w14:paraId="12227961" w14:textId="77777777" w:rsidTr="00075984">
        <w:tc>
          <w:tcPr>
            <w:tcW w:w="1602" w:type="dxa"/>
          </w:tcPr>
          <w:p w14:paraId="392F6759" w14:textId="77777777" w:rsidR="00075984" w:rsidRPr="00075984" w:rsidRDefault="00075984" w:rsidP="00075984">
            <w:pPr>
              <w:pStyle w:val="TableBody1"/>
            </w:pPr>
            <w:r w:rsidRPr="00075984">
              <w:t>DD_MASK</w:t>
            </w:r>
          </w:p>
        </w:tc>
        <w:tc>
          <w:tcPr>
            <w:tcW w:w="7861" w:type="dxa"/>
          </w:tcPr>
          <w:p w14:paraId="6A9C8836" w14:textId="77777777" w:rsidR="00075984" w:rsidRPr="004E30B3" w:rsidRDefault="00075984" w:rsidP="00075984">
            <w:pPr>
              <w:pStyle w:val="TableBody1"/>
            </w:pPr>
            <w:r w:rsidRPr="00075984">
              <w:t xml:space="preserve">Used to enable different debug streams for finer-grained debug messages, essentially allowing the user to specify an area of interest to debug (possibly involving many different subsystems) as opposed to parsing through many lines of generic DEBUG messages. All debug streams </w:t>
            </w:r>
            <w:r w:rsidRPr="002E45A1">
              <w:rPr>
                <w:noProof/>
              </w:rPr>
              <w:t>will be enabled</w:t>
            </w:r>
            <w:r w:rsidRPr="00075984">
              <w:t xml:space="preserve"> by default ("DD_MASK=all"). Single debug masks can be set ("DD_MASK=trace") or multiple masks ("DD_MASK=trace,test,mgmt"). Note that since these debug streams are strictly related to the debug log messages, DD_LOG_MASK must be set to DEBUG. Priority messages higher than DEBUG </w:t>
            </w:r>
            <w:r w:rsidRPr="002E45A1">
              <w:rPr>
                <w:noProof/>
              </w:rPr>
              <w:t>will still be</w:t>
            </w:r>
            <w:r w:rsidRPr="00075984">
              <w:t xml:space="preserve"> logged for all facilities unless otherwise specified by D_LOG_MASK (not affected by enabling debug masks).</w:t>
            </w:r>
          </w:p>
        </w:tc>
      </w:tr>
    </w:tbl>
    <w:p w14:paraId="575D1D3F" w14:textId="6C8DD697" w:rsidR="004E30B3" w:rsidRPr="004E30B3" w:rsidRDefault="004E30B3" w:rsidP="00075984">
      <w:pPr>
        <w:pStyle w:val="Body1"/>
      </w:pPr>
    </w:p>
    <w:sectPr w:rsidR="004E30B3" w:rsidRPr="004E30B3" w:rsidSect="00C50D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ADD4" w14:textId="77777777" w:rsidR="006616B0" w:rsidRDefault="006616B0" w:rsidP="0063442B">
      <w:pPr>
        <w:spacing w:after="0" w:line="240" w:lineRule="auto"/>
      </w:pPr>
      <w:r>
        <w:separator/>
      </w:r>
    </w:p>
    <w:p w14:paraId="50CE6DF7" w14:textId="77777777" w:rsidR="006616B0" w:rsidRDefault="006616B0"/>
    <w:p w14:paraId="1A5D6F4E" w14:textId="77777777" w:rsidR="006616B0" w:rsidRDefault="006616B0"/>
  </w:endnote>
  <w:endnote w:type="continuationSeparator" w:id="0">
    <w:p w14:paraId="1200501E" w14:textId="77777777" w:rsidR="006616B0" w:rsidRDefault="006616B0" w:rsidP="0063442B">
      <w:pPr>
        <w:spacing w:after="0" w:line="240" w:lineRule="auto"/>
      </w:pPr>
      <w:r>
        <w:continuationSeparator/>
      </w:r>
    </w:p>
    <w:p w14:paraId="310E38C9" w14:textId="77777777" w:rsidR="006616B0" w:rsidRDefault="006616B0"/>
    <w:p w14:paraId="09A53F1B" w14:textId="77777777" w:rsidR="006616B0" w:rsidRDefault="006616B0"/>
  </w:endnote>
  <w:endnote w:type="continuationNotice" w:id="1">
    <w:p w14:paraId="7E476D84" w14:textId="77777777" w:rsidR="006616B0" w:rsidRDefault="00661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7A181D">
          <w:rPr>
            <w:rFonts w:asciiTheme="minorHAnsi" w:hAnsiTheme="minorHAnsi"/>
            <w:noProof/>
            <w:sz w:val="22"/>
            <w:szCs w:val="22"/>
          </w:rPr>
          <w:t>2</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58FD1" w14:textId="77777777" w:rsidR="006616B0" w:rsidRDefault="006616B0" w:rsidP="0063442B">
      <w:pPr>
        <w:spacing w:after="0" w:line="240" w:lineRule="auto"/>
      </w:pPr>
      <w:r>
        <w:separator/>
      </w:r>
    </w:p>
  </w:footnote>
  <w:footnote w:type="continuationSeparator" w:id="0">
    <w:p w14:paraId="4EB0F8B4" w14:textId="77777777" w:rsidR="006616B0" w:rsidRDefault="006616B0" w:rsidP="0063442B">
      <w:pPr>
        <w:spacing w:after="0" w:line="240" w:lineRule="auto"/>
      </w:pPr>
      <w:r>
        <w:continuationSeparator/>
      </w:r>
    </w:p>
    <w:p w14:paraId="7641DE6A" w14:textId="77777777" w:rsidR="006616B0" w:rsidRDefault="006616B0"/>
    <w:p w14:paraId="57FE7E38" w14:textId="77777777" w:rsidR="006616B0" w:rsidRDefault="006616B0"/>
  </w:footnote>
  <w:footnote w:type="continuationNotice" w:id="1">
    <w:p w14:paraId="16E738F4" w14:textId="77777777" w:rsidR="006616B0" w:rsidRDefault="006616B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6616B0">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6B0"/>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81D"/>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7A181D"/>
  </w:style>
  <w:style w:type="paragraph" w:styleId="Heading1">
    <w:name w:val="heading 1"/>
    <w:basedOn w:val="Normal"/>
    <w:next w:val="Body1"/>
    <w:link w:val="Heading1Char"/>
    <w:uiPriority w:val="7"/>
    <w:qFormat/>
    <w:rsid w:val="007A181D"/>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7A181D"/>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7A181D"/>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7A181D"/>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7A181D"/>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7A181D"/>
    <w:pPr>
      <w:outlineLvl w:val="5"/>
    </w:pPr>
  </w:style>
  <w:style w:type="paragraph" w:styleId="Heading7">
    <w:name w:val="heading 7"/>
    <w:basedOn w:val="Appendix2"/>
    <w:next w:val="Normal"/>
    <w:link w:val="Heading7Char"/>
    <w:autoRedefine/>
    <w:uiPriority w:val="99"/>
    <w:unhideWhenUsed/>
    <w:qFormat/>
    <w:locked/>
    <w:rsid w:val="007A181D"/>
    <w:pPr>
      <w:outlineLvl w:val="6"/>
    </w:pPr>
  </w:style>
  <w:style w:type="paragraph" w:styleId="Heading8">
    <w:name w:val="heading 8"/>
    <w:basedOn w:val="Appendix3"/>
    <w:next w:val="Body1"/>
    <w:link w:val="Heading8Char"/>
    <w:autoRedefine/>
    <w:uiPriority w:val="99"/>
    <w:unhideWhenUsed/>
    <w:qFormat/>
    <w:locked/>
    <w:rsid w:val="007A181D"/>
    <w:pPr>
      <w:outlineLvl w:val="7"/>
    </w:pPr>
  </w:style>
  <w:style w:type="paragraph" w:styleId="Heading9">
    <w:name w:val="heading 9"/>
    <w:basedOn w:val="Appendix4"/>
    <w:next w:val="Normal"/>
    <w:link w:val="Heading9Char"/>
    <w:uiPriority w:val="99"/>
    <w:unhideWhenUsed/>
    <w:qFormat/>
    <w:locked/>
    <w:rsid w:val="007A181D"/>
    <w:pPr>
      <w:outlineLvl w:val="8"/>
    </w:pPr>
    <w:rPr>
      <w:sz w:val="20"/>
      <w:szCs w:val="20"/>
    </w:rPr>
  </w:style>
  <w:style w:type="character" w:default="1" w:styleId="DefaultParagraphFont">
    <w:name w:val="Default Paragraph Font"/>
    <w:uiPriority w:val="1"/>
    <w:semiHidden/>
    <w:unhideWhenUsed/>
    <w:rsid w:val="007A18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181D"/>
  </w:style>
  <w:style w:type="character" w:customStyle="1" w:styleId="Heading1Char">
    <w:name w:val="Heading 1 Char"/>
    <w:basedOn w:val="DefaultParagraphFont"/>
    <w:link w:val="Heading1"/>
    <w:uiPriority w:val="7"/>
    <w:rsid w:val="007A181D"/>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7A181D"/>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7A181D"/>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7A181D"/>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7A181D"/>
    <w:rPr>
      <w:rFonts w:eastAsiaTheme="majorEastAsia" w:cstheme="majorBidi"/>
      <w:color w:val="243F60" w:themeColor="accent1" w:themeShade="7F"/>
    </w:rPr>
  </w:style>
  <w:style w:type="character" w:customStyle="1" w:styleId="TableLink">
    <w:name w:val="Table Link"/>
    <w:basedOn w:val="Link"/>
    <w:uiPriority w:val="5"/>
    <w:qFormat/>
    <w:rsid w:val="007A181D"/>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7A181D"/>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7A181D"/>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7A181D"/>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7A181D"/>
    <w:rPr>
      <w:rFonts w:eastAsia="Times New Roman" w:cs="Arial"/>
      <w:b/>
      <w:color w:val="004280"/>
    </w:rPr>
  </w:style>
  <w:style w:type="paragraph" w:styleId="BalloonText">
    <w:name w:val="Balloon Text"/>
    <w:basedOn w:val="Normal"/>
    <w:link w:val="BalloonTextChar"/>
    <w:uiPriority w:val="99"/>
    <w:semiHidden/>
    <w:unhideWhenUsed/>
    <w:locked/>
    <w:rsid w:val="007A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1D"/>
    <w:rPr>
      <w:rFonts w:ascii="Tahoma" w:hAnsi="Tahoma" w:cs="Tahoma"/>
      <w:sz w:val="16"/>
      <w:szCs w:val="16"/>
    </w:rPr>
  </w:style>
  <w:style w:type="paragraph" w:customStyle="1" w:styleId="TableBody2">
    <w:name w:val="Table Body 2"/>
    <w:basedOn w:val="TableBody1"/>
    <w:link w:val="TableBody2Char"/>
    <w:uiPriority w:val="3"/>
    <w:qFormat/>
    <w:rsid w:val="007A181D"/>
    <w:pPr>
      <w:numPr>
        <w:ilvl w:val="1"/>
      </w:numPr>
    </w:pPr>
  </w:style>
  <w:style w:type="paragraph" w:customStyle="1" w:styleId="TableCode2">
    <w:name w:val="Table Code 2"/>
    <w:basedOn w:val="TableCode1"/>
    <w:link w:val="TableCode2Char"/>
    <w:uiPriority w:val="4"/>
    <w:qFormat/>
    <w:rsid w:val="007A181D"/>
    <w:pPr>
      <w:numPr>
        <w:ilvl w:val="1"/>
      </w:numPr>
    </w:pPr>
  </w:style>
  <w:style w:type="table" w:styleId="TableGrid">
    <w:name w:val="Table Grid"/>
    <w:basedOn w:val="TableNormal"/>
    <w:uiPriority w:val="59"/>
    <w:locked/>
    <w:rsid w:val="007A181D"/>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7A181D"/>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7A181D"/>
    <w:rPr>
      <w:rFonts w:ascii="Verdana" w:hAnsi="Verdana"/>
      <w:color w:val="004280"/>
      <w:sz w:val="20"/>
      <w:u w:val="single"/>
    </w:rPr>
  </w:style>
  <w:style w:type="paragraph" w:styleId="TableofFigures">
    <w:name w:val="table of figures"/>
    <w:basedOn w:val="Normal"/>
    <w:next w:val="Normal"/>
    <w:uiPriority w:val="99"/>
    <w:locked/>
    <w:rsid w:val="007A181D"/>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7A181D"/>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7A181D"/>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7A181D"/>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7A181D"/>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7A181D"/>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7A181D"/>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7A181D"/>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7A181D"/>
    <w:rPr>
      <w:rFonts w:ascii="Arial" w:eastAsia="Times New Roman" w:hAnsi="Arial" w:cs="Arial"/>
      <w:b/>
      <w:color w:val="004280"/>
    </w:rPr>
  </w:style>
  <w:style w:type="character" w:customStyle="1" w:styleId="Body2Char">
    <w:name w:val="Body 2 Char"/>
    <w:basedOn w:val="DefaultParagraphFont"/>
    <w:link w:val="Body2"/>
    <w:rsid w:val="007A181D"/>
    <w:rPr>
      <w:rFonts w:eastAsia="Times New Roman" w:cs="Arial"/>
      <w:shd w:val="clear" w:color="auto" w:fill="FFFFFF"/>
    </w:rPr>
  </w:style>
  <w:style w:type="paragraph" w:customStyle="1" w:styleId="Number1">
    <w:name w:val="Number 1"/>
    <w:basedOn w:val="Normal"/>
    <w:link w:val="Number1Char"/>
    <w:uiPriority w:val="2"/>
    <w:qFormat/>
    <w:rsid w:val="007A181D"/>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7A181D"/>
    <w:rPr>
      <w:rFonts w:eastAsia="Times New Roman" w:cs="Times New Roman"/>
      <w:szCs w:val="24"/>
      <w:shd w:val="clear" w:color="auto" w:fill="FFFFFF"/>
    </w:rPr>
  </w:style>
  <w:style w:type="paragraph" w:customStyle="1" w:styleId="Bullet1">
    <w:name w:val="Bullet 1"/>
    <w:basedOn w:val="Normal"/>
    <w:link w:val="Bullet1Char"/>
    <w:uiPriority w:val="1"/>
    <w:qFormat/>
    <w:rsid w:val="007A181D"/>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7A181D"/>
    <w:rPr>
      <w:rFonts w:eastAsia="Times New Roman" w:cs="Arial"/>
    </w:rPr>
  </w:style>
  <w:style w:type="paragraph" w:customStyle="1" w:styleId="Bullet2">
    <w:name w:val="Bullet 2"/>
    <w:basedOn w:val="Normal"/>
    <w:link w:val="Bullet2Char"/>
    <w:uiPriority w:val="1"/>
    <w:qFormat/>
    <w:rsid w:val="007A181D"/>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7A181D"/>
    <w:rPr>
      <w:rFonts w:eastAsia="Times New Roman" w:cs="Arial"/>
    </w:rPr>
  </w:style>
  <w:style w:type="paragraph" w:customStyle="1" w:styleId="Number2">
    <w:name w:val="Number 2"/>
    <w:basedOn w:val="Normal"/>
    <w:link w:val="Number2Char"/>
    <w:uiPriority w:val="2"/>
    <w:qFormat/>
    <w:rsid w:val="007A181D"/>
    <w:pPr>
      <w:numPr>
        <w:ilvl w:val="1"/>
        <w:numId w:val="1"/>
      </w:numPr>
      <w:spacing w:before="40" w:after="40" w:line="240" w:lineRule="auto"/>
    </w:pPr>
  </w:style>
  <w:style w:type="paragraph" w:customStyle="1" w:styleId="TableHeading">
    <w:name w:val="Table Heading"/>
    <w:basedOn w:val="Normal"/>
    <w:link w:val="TableHeadingChar"/>
    <w:uiPriority w:val="6"/>
    <w:qFormat/>
    <w:rsid w:val="007A181D"/>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7A181D"/>
    <w:rPr>
      <w:rFonts w:ascii="Arial" w:eastAsia="Times New Roman" w:hAnsi="Arial" w:cs="Arial"/>
      <w:b/>
      <w:color w:val="004280"/>
      <w:sz w:val="18"/>
    </w:rPr>
  </w:style>
  <w:style w:type="paragraph" w:customStyle="1" w:styleId="TableBody1">
    <w:name w:val="Table Body 1"/>
    <w:basedOn w:val="Normal"/>
    <w:link w:val="TableBody1Char"/>
    <w:uiPriority w:val="3"/>
    <w:qFormat/>
    <w:rsid w:val="007A181D"/>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7A181D"/>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7A181D"/>
    <w:pPr>
      <w:numPr>
        <w:numId w:val="4"/>
      </w:numPr>
      <w:spacing w:before="40" w:after="40"/>
    </w:pPr>
  </w:style>
  <w:style w:type="character" w:customStyle="1" w:styleId="TableBullet1Char">
    <w:name w:val="Table Bullet 1 Char"/>
    <w:basedOn w:val="TableBody1Char"/>
    <w:link w:val="TableBullet1"/>
    <w:uiPriority w:val="3"/>
    <w:rsid w:val="007A181D"/>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7A181D"/>
    <w:pPr>
      <w:numPr>
        <w:ilvl w:val="1"/>
      </w:numPr>
    </w:pPr>
  </w:style>
  <w:style w:type="character" w:customStyle="1" w:styleId="TableBullet2Char">
    <w:name w:val="Table Bullet 2 Char"/>
    <w:basedOn w:val="TableBullet1Char"/>
    <w:link w:val="TableBullet2"/>
    <w:uiPriority w:val="3"/>
    <w:rsid w:val="007A181D"/>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7A181D"/>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7A181D"/>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7A181D"/>
    <w:pPr>
      <w:numPr>
        <w:numId w:val="2"/>
      </w:numPr>
      <w:spacing w:before="40" w:after="40" w:line="240" w:lineRule="auto"/>
    </w:pPr>
    <w:rPr>
      <w:sz w:val="18"/>
    </w:rPr>
  </w:style>
  <w:style w:type="paragraph" w:customStyle="1" w:styleId="Headers">
    <w:name w:val="Headers"/>
    <w:basedOn w:val="Normal"/>
    <w:link w:val="HeadersChar"/>
    <w:uiPriority w:val="9"/>
    <w:qFormat/>
    <w:rsid w:val="007A181D"/>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7A181D"/>
    <w:rPr>
      <w:rFonts w:ascii="Arial" w:eastAsia="Times New Roman" w:hAnsi="Arial" w:cs="Arial"/>
      <w:b/>
      <w:i/>
      <w:iCs/>
      <w:color w:val="004280"/>
    </w:rPr>
  </w:style>
  <w:style w:type="table" w:styleId="LightGrid-Accent1">
    <w:name w:val="Light Grid Accent 1"/>
    <w:basedOn w:val="TableNormal"/>
    <w:uiPriority w:val="62"/>
    <w:locked/>
    <w:rsid w:val="007A18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7A1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7A1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7A18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7A18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7A18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7A181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7A181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7A181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7A181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7A181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7A18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7A18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7A18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7A181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7A181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7A18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7A18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7A181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7A18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7A18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7A181D"/>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7A181D"/>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7A181D"/>
    <w:pPr>
      <w:numPr>
        <w:numId w:val="27"/>
      </w:numPr>
    </w:pPr>
  </w:style>
  <w:style w:type="paragraph" w:customStyle="1" w:styleId="Body1">
    <w:name w:val="Body 1"/>
    <w:basedOn w:val="Normal"/>
    <w:link w:val="Body1Char"/>
    <w:qFormat/>
    <w:rsid w:val="007A181D"/>
    <w:pPr>
      <w:spacing w:before="120" w:after="60" w:line="240" w:lineRule="auto"/>
    </w:pPr>
  </w:style>
  <w:style w:type="character" w:customStyle="1" w:styleId="Appendix1Char">
    <w:name w:val="Appendix 1 Char"/>
    <w:basedOn w:val="DefaultParagraphFont"/>
    <w:link w:val="Appendix1"/>
    <w:uiPriority w:val="12"/>
    <w:rsid w:val="007A181D"/>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7A181D"/>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7A181D"/>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7A181D"/>
    <w:rPr>
      <w:vertAlign w:val="superscript"/>
    </w:rPr>
  </w:style>
  <w:style w:type="character" w:customStyle="1" w:styleId="Link">
    <w:name w:val="Link"/>
    <w:basedOn w:val="Body2Char"/>
    <w:uiPriority w:val="5"/>
    <w:qFormat/>
    <w:rsid w:val="007A181D"/>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7A181D"/>
    <w:rPr>
      <w:color w:val="800080" w:themeColor="followedHyperlink"/>
      <w:u w:val="single"/>
    </w:rPr>
  </w:style>
  <w:style w:type="character" w:styleId="CommentReference">
    <w:name w:val="annotation reference"/>
    <w:basedOn w:val="DefaultParagraphFont"/>
    <w:uiPriority w:val="99"/>
    <w:semiHidden/>
    <w:unhideWhenUsed/>
    <w:locked/>
    <w:rsid w:val="007A181D"/>
    <w:rPr>
      <w:sz w:val="16"/>
      <w:szCs w:val="16"/>
    </w:rPr>
  </w:style>
  <w:style w:type="paragraph" w:styleId="CommentText">
    <w:name w:val="annotation text"/>
    <w:basedOn w:val="Normal"/>
    <w:link w:val="CommentTextChar"/>
    <w:uiPriority w:val="99"/>
    <w:unhideWhenUsed/>
    <w:locked/>
    <w:rsid w:val="007A181D"/>
    <w:pPr>
      <w:spacing w:line="240" w:lineRule="auto"/>
    </w:pPr>
  </w:style>
  <w:style w:type="character" w:customStyle="1" w:styleId="CommentTextChar">
    <w:name w:val="Comment Text Char"/>
    <w:basedOn w:val="DefaultParagraphFont"/>
    <w:link w:val="CommentText"/>
    <w:uiPriority w:val="99"/>
    <w:rsid w:val="007A181D"/>
  </w:style>
  <w:style w:type="paragraph" w:styleId="CommentSubject">
    <w:name w:val="annotation subject"/>
    <w:basedOn w:val="CommentText"/>
    <w:next w:val="CommentText"/>
    <w:link w:val="CommentSubjectChar"/>
    <w:uiPriority w:val="99"/>
    <w:semiHidden/>
    <w:unhideWhenUsed/>
    <w:locked/>
    <w:rsid w:val="007A181D"/>
    <w:rPr>
      <w:b/>
      <w:bCs/>
    </w:rPr>
  </w:style>
  <w:style w:type="character" w:customStyle="1" w:styleId="CommentSubjectChar">
    <w:name w:val="Comment Subject Char"/>
    <w:basedOn w:val="CommentTextChar"/>
    <w:link w:val="CommentSubject"/>
    <w:uiPriority w:val="99"/>
    <w:semiHidden/>
    <w:rsid w:val="007A181D"/>
    <w:rPr>
      <w:b/>
      <w:bCs/>
    </w:rPr>
  </w:style>
  <w:style w:type="paragraph" w:styleId="NormalWeb">
    <w:name w:val="Normal (Web)"/>
    <w:basedOn w:val="Normal"/>
    <w:uiPriority w:val="99"/>
    <w:unhideWhenUsed/>
    <w:locked/>
    <w:rsid w:val="007A1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7A181D"/>
    <w:pPr>
      <w:jc w:val="center"/>
    </w:pPr>
    <w:rPr>
      <w:i w:val="0"/>
      <w:noProof/>
    </w:rPr>
  </w:style>
  <w:style w:type="paragraph" w:customStyle="1" w:styleId="TableNumber2">
    <w:name w:val="Table Number 2"/>
    <w:basedOn w:val="Normal"/>
    <w:link w:val="TableNumber2Char"/>
    <w:uiPriority w:val="3"/>
    <w:qFormat/>
    <w:rsid w:val="007A181D"/>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7A181D"/>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7A1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81D"/>
  </w:style>
  <w:style w:type="paragraph" w:styleId="Footer">
    <w:name w:val="footer"/>
    <w:basedOn w:val="Normal"/>
    <w:link w:val="FooterChar"/>
    <w:uiPriority w:val="99"/>
    <w:unhideWhenUsed/>
    <w:locked/>
    <w:rsid w:val="007A1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81D"/>
  </w:style>
  <w:style w:type="table" w:customStyle="1" w:styleId="Table03">
    <w:name w:val="Table_03"/>
    <w:basedOn w:val="TableNormal"/>
    <w:uiPriority w:val="99"/>
    <w:rsid w:val="007A181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7A181D"/>
    <w:pPr>
      <w:numPr>
        <w:numId w:val="28"/>
      </w:numPr>
    </w:pPr>
  </w:style>
  <w:style w:type="numbering" w:customStyle="1" w:styleId="NumberedList">
    <w:name w:val="Numbered List"/>
    <w:basedOn w:val="NoList"/>
    <w:uiPriority w:val="99"/>
    <w:rsid w:val="007A181D"/>
    <w:pPr>
      <w:numPr>
        <w:numId w:val="1"/>
      </w:numPr>
    </w:pPr>
  </w:style>
  <w:style w:type="numbering" w:customStyle="1" w:styleId="TableNumberedList">
    <w:name w:val="Table Numbered List"/>
    <w:basedOn w:val="NoList"/>
    <w:uiPriority w:val="99"/>
    <w:rsid w:val="007A181D"/>
    <w:pPr>
      <w:numPr>
        <w:numId w:val="2"/>
      </w:numPr>
    </w:pPr>
  </w:style>
  <w:style w:type="numbering" w:customStyle="1" w:styleId="TableBulletedList">
    <w:name w:val="Table Bulleted List"/>
    <w:basedOn w:val="AppendixHeadings"/>
    <w:uiPriority w:val="99"/>
    <w:rsid w:val="007A181D"/>
    <w:pPr>
      <w:numPr>
        <w:numId w:val="4"/>
      </w:numPr>
    </w:pPr>
  </w:style>
  <w:style w:type="numbering" w:customStyle="1" w:styleId="BulletedList">
    <w:name w:val="Bulleted List"/>
    <w:basedOn w:val="AppendixHeadings"/>
    <w:uiPriority w:val="99"/>
    <w:rsid w:val="007A181D"/>
    <w:pPr>
      <w:numPr>
        <w:numId w:val="3"/>
      </w:numPr>
    </w:pPr>
  </w:style>
  <w:style w:type="numbering" w:customStyle="1" w:styleId="BodyList">
    <w:name w:val="Body List"/>
    <w:basedOn w:val="NoList"/>
    <w:uiPriority w:val="99"/>
    <w:rsid w:val="007A181D"/>
    <w:pPr>
      <w:numPr>
        <w:numId w:val="5"/>
      </w:numPr>
    </w:pPr>
  </w:style>
  <w:style w:type="numbering" w:customStyle="1" w:styleId="TableBodyList">
    <w:name w:val="Table Body List"/>
    <w:basedOn w:val="BodyList"/>
    <w:uiPriority w:val="99"/>
    <w:rsid w:val="007A181D"/>
    <w:pPr>
      <w:numPr>
        <w:numId w:val="6"/>
      </w:numPr>
    </w:pPr>
  </w:style>
  <w:style w:type="numbering" w:customStyle="1" w:styleId="CodeList">
    <w:name w:val="Code List"/>
    <w:basedOn w:val="BodyList"/>
    <w:uiPriority w:val="99"/>
    <w:rsid w:val="007A181D"/>
    <w:pPr>
      <w:numPr>
        <w:numId w:val="7"/>
      </w:numPr>
    </w:pPr>
  </w:style>
  <w:style w:type="character" w:styleId="SubtleEmphasis">
    <w:name w:val="Subtle Emphasis"/>
    <w:basedOn w:val="DefaultParagraphFont"/>
    <w:uiPriority w:val="99"/>
    <w:locked/>
    <w:rsid w:val="007A181D"/>
    <w:rPr>
      <w:rFonts w:ascii="Verdana" w:hAnsi="Verdana"/>
      <w:i/>
      <w:iCs/>
      <w:color w:val="808080" w:themeColor="text1" w:themeTint="7F"/>
      <w:sz w:val="20"/>
    </w:rPr>
  </w:style>
  <w:style w:type="paragraph" w:styleId="TOC5">
    <w:name w:val="toc 5"/>
    <w:basedOn w:val="Normal"/>
    <w:next w:val="Normal"/>
    <w:autoRedefine/>
    <w:uiPriority w:val="99"/>
    <w:unhideWhenUsed/>
    <w:locked/>
    <w:rsid w:val="007A181D"/>
    <w:pPr>
      <w:spacing w:after="100"/>
      <w:ind w:left="880"/>
    </w:pPr>
  </w:style>
  <w:style w:type="paragraph" w:styleId="TOC6">
    <w:name w:val="toc 6"/>
    <w:basedOn w:val="Normal"/>
    <w:next w:val="Normal"/>
    <w:autoRedefine/>
    <w:uiPriority w:val="99"/>
    <w:unhideWhenUsed/>
    <w:locked/>
    <w:rsid w:val="007A181D"/>
    <w:pPr>
      <w:spacing w:after="100"/>
      <w:ind w:left="1100"/>
    </w:pPr>
  </w:style>
  <w:style w:type="paragraph" w:styleId="TOC7">
    <w:name w:val="toc 7"/>
    <w:basedOn w:val="Normal"/>
    <w:next w:val="Normal"/>
    <w:autoRedefine/>
    <w:uiPriority w:val="99"/>
    <w:unhideWhenUsed/>
    <w:locked/>
    <w:rsid w:val="007A181D"/>
    <w:pPr>
      <w:spacing w:after="100"/>
      <w:ind w:left="1320"/>
    </w:pPr>
  </w:style>
  <w:style w:type="paragraph" w:styleId="TOC8">
    <w:name w:val="toc 8"/>
    <w:basedOn w:val="Normal"/>
    <w:next w:val="Normal"/>
    <w:autoRedefine/>
    <w:uiPriority w:val="99"/>
    <w:unhideWhenUsed/>
    <w:locked/>
    <w:rsid w:val="007A181D"/>
    <w:pPr>
      <w:spacing w:after="100"/>
      <w:ind w:left="1540"/>
    </w:pPr>
  </w:style>
  <w:style w:type="paragraph" w:styleId="TOC9">
    <w:name w:val="toc 9"/>
    <w:basedOn w:val="Normal"/>
    <w:next w:val="Normal"/>
    <w:autoRedefine/>
    <w:uiPriority w:val="99"/>
    <w:unhideWhenUsed/>
    <w:locked/>
    <w:rsid w:val="007A181D"/>
    <w:pPr>
      <w:spacing w:after="100"/>
      <w:ind w:left="1760"/>
    </w:pPr>
  </w:style>
  <w:style w:type="paragraph" w:styleId="Subtitle">
    <w:name w:val="Subtitle"/>
    <w:basedOn w:val="Normal"/>
    <w:next w:val="Normal"/>
    <w:link w:val="SubtitleChar"/>
    <w:uiPriority w:val="19"/>
    <w:locked/>
    <w:rsid w:val="007A181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7A181D"/>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7A181D"/>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7A181D"/>
    <w:rPr>
      <w:rFonts w:eastAsiaTheme="minorHAnsi"/>
    </w:rPr>
  </w:style>
  <w:style w:type="character" w:customStyle="1" w:styleId="TitleChar">
    <w:name w:val="Title Char"/>
    <w:basedOn w:val="DefaultParagraphFont"/>
    <w:link w:val="Title"/>
    <w:uiPriority w:val="19"/>
    <w:rsid w:val="007A181D"/>
    <w:rPr>
      <w:rFonts w:ascii="Calibri Light" w:hAnsi="Calibri Light" w:cstheme="minorHAnsi"/>
      <w:b/>
      <w:sz w:val="44"/>
      <w:szCs w:val="44"/>
    </w:rPr>
  </w:style>
  <w:style w:type="character" w:styleId="Strong">
    <w:name w:val="Strong"/>
    <w:basedOn w:val="DefaultParagraphFont"/>
    <w:uiPriority w:val="22"/>
    <w:qFormat/>
    <w:rsid w:val="007A181D"/>
    <w:rPr>
      <w:rFonts w:ascii="Verdana" w:hAnsi="Verdana"/>
      <w:b/>
      <w:bCs/>
      <w:sz w:val="20"/>
    </w:rPr>
  </w:style>
  <w:style w:type="character" w:styleId="Emphasis">
    <w:name w:val="Emphasis"/>
    <w:basedOn w:val="DefaultParagraphFont"/>
    <w:uiPriority w:val="99"/>
    <w:locked/>
    <w:rsid w:val="007A181D"/>
    <w:rPr>
      <w:rFonts w:ascii="Verdana" w:hAnsi="Verdana"/>
      <w:i/>
      <w:iCs/>
      <w:sz w:val="20"/>
    </w:rPr>
  </w:style>
  <w:style w:type="character" w:styleId="IntenseEmphasis">
    <w:name w:val="Intense Emphasis"/>
    <w:basedOn w:val="DefaultParagraphFont"/>
    <w:uiPriority w:val="99"/>
    <w:locked/>
    <w:rsid w:val="007A181D"/>
    <w:rPr>
      <w:rFonts w:ascii="Verdana" w:hAnsi="Verdana"/>
      <w:b/>
      <w:bCs/>
      <w:i/>
      <w:iCs/>
      <w:color w:val="4F81BD" w:themeColor="accent1"/>
      <w:sz w:val="20"/>
    </w:rPr>
  </w:style>
  <w:style w:type="character" w:styleId="IntenseReference">
    <w:name w:val="Intense Reference"/>
    <w:basedOn w:val="DefaultParagraphFont"/>
    <w:uiPriority w:val="99"/>
    <w:locked/>
    <w:rsid w:val="007A181D"/>
    <w:rPr>
      <w:rFonts w:ascii="Verdana" w:hAnsi="Verdana"/>
      <w:b/>
      <w:bCs/>
      <w:smallCaps/>
      <w:color w:val="C0504D" w:themeColor="accent2"/>
      <w:spacing w:val="5"/>
      <w:sz w:val="20"/>
      <w:u w:val="single"/>
    </w:rPr>
  </w:style>
  <w:style w:type="table" w:customStyle="1" w:styleId="Table01">
    <w:name w:val="Table_01"/>
    <w:basedOn w:val="TableElegant"/>
    <w:uiPriority w:val="99"/>
    <w:rsid w:val="007A181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7A18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7A181D"/>
  </w:style>
  <w:style w:type="character" w:customStyle="1" w:styleId="Number2Char">
    <w:name w:val="Number 2 Char"/>
    <w:basedOn w:val="DefaultParagraphFont"/>
    <w:link w:val="Number2"/>
    <w:uiPriority w:val="2"/>
    <w:rsid w:val="007A181D"/>
  </w:style>
  <w:style w:type="character" w:customStyle="1" w:styleId="TableBody2Char">
    <w:name w:val="Table Body 2 Char"/>
    <w:basedOn w:val="TableBody1Char"/>
    <w:link w:val="TableBody2"/>
    <w:uiPriority w:val="3"/>
    <w:rsid w:val="007A181D"/>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7A181D"/>
    <w:rPr>
      <w:sz w:val="18"/>
    </w:rPr>
  </w:style>
  <w:style w:type="character" w:customStyle="1" w:styleId="TableNumber2Char">
    <w:name w:val="Table Number 2 Char"/>
    <w:basedOn w:val="DefaultParagraphFont"/>
    <w:link w:val="TableNumber2"/>
    <w:uiPriority w:val="3"/>
    <w:rsid w:val="007A181D"/>
    <w:rPr>
      <w:sz w:val="18"/>
    </w:rPr>
  </w:style>
  <w:style w:type="character" w:customStyle="1" w:styleId="Appendix2Char">
    <w:name w:val="Appendix 2 Char"/>
    <w:basedOn w:val="Heading1Char"/>
    <w:link w:val="Appendix2"/>
    <w:uiPriority w:val="12"/>
    <w:rsid w:val="007A181D"/>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7A181D"/>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7A181D"/>
    <w:pPr>
      <w:numPr>
        <w:numId w:val="27"/>
      </w:numPr>
    </w:pPr>
    <w:rPr>
      <w:sz w:val="36"/>
      <w:szCs w:val="28"/>
    </w:rPr>
  </w:style>
  <w:style w:type="character" w:customStyle="1" w:styleId="FootersChar">
    <w:name w:val="Footers Char"/>
    <w:basedOn w:val="HeadersChar"/>
    <w:link w:val="Footers"/>
    <w:uiPriority w:val="10"/>
    <w:rsid w:val="007A181D"/>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7A181D"/>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7A181D"/>
    <w:pPr>
      <w:spacing w:after="0" w:line="240" w:lineRule="auto"/>
    </w:pPr>
  </w:style>
  <w:style w:type="character" w:customStyle="1" w:styleId="FootnoteTextChar">
    <w:name w:val="Footnote Text Char"/>
    <w:basedOn w:val="DefaultParagraphFont"/>
    <w:link w:val="FootnoteText"/>
    <w:uiPriority w:val="99"/>
    <w:rsid w:val="007A181D"/>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7A181D"/>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7A181D"/>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7A181D"/>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7A181D"/>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7A181D"/>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7A181D"/>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7A181D"/>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7A181D"/>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E911AD-CB5F-49B6-83C1-B9A3265B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0</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2019-04-25T16:24:00Z</dcterms:created>
  <dcterms:modified xsi:type="dcterms:W3CDTF">2019-04-25T16:24:00Z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