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343E9063">
      <w:pPr>
        <w:rPr>
          <w:rFonts w:eastAsia="黑体"/>
          <w:b/>
          <w:color w:val="000000"/>
          <w:sz w:val="44"/>
          <w:szCs w:val="44"/>
        </w:rPr>
      </w:pPr>
      <w:bookmarkStart w:id="0" w:name="_GoBack"/>
      <w:bookmarkEnd w:id="0"/>
      <w:r>
        <w:rPr>
          <w:rFonts w:ascii="宋体" w:hAnsi="宋体" w:eastAsia="宋体" w:cs="宋体"/>
          <w:sz w:val="20"/>
          <w:lang/>
        </w:rPr>
        <w:pict>
          <v:line id="_x0000_s1026" o:spid="_x0000_s1026" o:spt="20" style="position:absolute;left:0pt;margin-left:0pt;margin-top:15.6pt;height:0pt;width:0.05pt;z-index:251659264;mso-width-relative:page;mso-height-relative:page;" coordsize="21600,21600">
            <v:path arrowok="t"/>
            <v:fill focussize="0,0"/>
            <v:stroke/>
            <v:imagedata o:title=""/>
            <o:lock v:ext="edit"/>
          </v:line>
        </w:pict>
      </w:r>
    </w:p>
    <w:p w14:paraId="2D106B59">
      <w:pPr>
        <w:jc w:val="center"/>
        <w:rPr>
          <w:rFonts w:eastAsia="黑体"/>
          <w:b/>
          <w:color w:val="000000"/>
          <w:sz w:val="44"/>
          <w:szCs w:val="44"/>
        </w:rPr>
      </w:pPr>
      <w:r>
        <w:rPr>
          <w:rFonts w:eastAsia="宋体" w:ascii="宋体" w:hAnsi="宋体" w:cs="宋体"/>
          <w:b/>
          <w:color w:val="000000"/>
          <w:sz w:val="44"/>
          <w:szCs w:val="44"/>
          <w:lang/>
        </w:rPr>
        <w:pict>
          <v:shape id="_x0000_i1025" o:spt="75" alt="西电科大背景透明LOGO-标准" type="#_x0000_t75" style="height:59.3pt;width:317.25pt;" filled="f" stroked="f" coordsize="21600,21600">
            <v:path/>
            <v:fill on="f" focussize="0,0"/>
            <v:stroke on="f"/>
            <v:imagedata r:id="rId7" grayscale="f" bilevel="f" o:title="西电科大背景透明LOGO-标准"/>
            <o:lock v:ext="edit" aspectratio="t"/>
            <w10:wrap type="none"/>
            <w10:anchorlock/>
          </v:shape>
        </w:pict>
      </w:r>
    </w:p>
    <w:p w14:paraId="3DD4E0F8">
      <w:pPr>
        <w:jc w:val="center"/>
        <w:rPr>
          <w:rFonts w:eastAsia="黑体"/>
          <w:b/>
          <w:color w:val="000000"/>
          <w:sz w:val="44"/>
          <w:szCs w:val="44"/>
        </w:rPr>
      </w:pPr>
      <w:r>
        <w:rPr>
          <w:rFonts w:hint="eastAsia" w:eastAsia="宋体" w:ascii="宋体" w:hAnsi="宋体" w:cs="宋体"/>
          <w:b/>
          <w:color w:val="000000"/>
          <w:sz w:val="44"/>
          <w:szCs w:val="44"/>
        </w:rPr>
        <w:t>计算机科学与技术学院</w:t>
      </w:r>
    </w:p>
    <w:p w14:paraId="746C2191">
      <w:pPr>
        <w:jc w:val="center"/>
        <w:rPr>
          <w:rFonts w:eastAsia="黑体"/>
          <w:b/>
          <w:color w:val="000000"/>
          <w:sz w:val="44"/>
          <w:szCs w:val="44"/>
        </w:rPr>
      </w:pPr>
    </w:p>
    <w:p w14:paraId="01B44F4B">
      <w:pPr>
        <w:jc w:val="center"/>
        <w:rPr>
          <w:rFonts w:hint="eastAsia" w:eastAsia="黑体"/>
          <w:b/>
          <w:color w:val="000000"/>
          <w:sz w:val="44"/>
          <w:szCs w:val="44"/>
        </w:rPr>
      </w:pPr>
    </w:p>
    <w:p w14:paraId="28A22AC0">
      <w:pPr>
        <w:spacing w:line="900" w:lineRule="exact"/>
        <w:jc w:val="center"/>
        <w:rPr>
          <w:rFonts w:eastAsia="黑体"/>
          <w:b/>
          <w:sz w:val="44"/>
          <w:szCs w:val="44"/>
        </w:rPr>
      </w:pPr>
      <w:r>
        <w:rPr>
          <w:rFonts w:hint="eastAsia" w:eastAsia="宋体" w:ascii="宋体" w:hAnsi="宋体" w:cs="宋体"/>
          <w:b/>
          <w:sz w:val="44"/>
          <w:szCs w:val="44"/>
        </w:rPr>
        <w:t>“大数据智能方向”</w:t>
      </w:r>
      <w:r>
        <w:rPr>
          <w:rFonts w:hint="eastAsia" w:eastAsia="宋体" w:ascii="宋体" w:hAnsi="宋体" w:cs="宋体"/>
          <w:b/>
          <w:color w:val="000000"/>
          <w:sz w:val="44"/>
          <w:szCs w:val="44"/>
        </w:rPr>
        <w:t>综合工程设计中期报告</w:t>
      </w:r>
    </w:p>
    <w:p w14:paraId="43431C0A">
      <w:pPr>
        <w:spacing w:line="900" w:lineRule="exact"/>
        <w:ind w:firstLine="1200" w:firstLineChars="400"/>
        <w:rPr>
          <w:rFonts w:eastAsia="仿宋"/>
          <w:color w:val="000000"/>
          <w:sz w:val="30"/>
          <w:szCs w:val="30"/>
        </w:rPr>
      </w:pPr>
    </w:p>
    <w:p w14:paraId="5575BE5D">
      <w:pPr>
        <w:spacing w:line="900" w:lineRule="exact"/>
        <w:ind w:firstLine="1200" w:firstLineChars="400"/>
        <w:rPr>
          <w:rFonts w:eastAsia="仿宋"/>
          <w:color w:val="000000"/>
          <w:sz w:val="30"/>
          <w:szCs w:val="30"/>
        </w:rPr>
      </w:pPr>
    </w:p>
    <w:p w14:paraId="23327DF7">
      <w:pPr>
        <w:spacing w:line="900" w:lineRule="exact"/>
        <w:ind w:firstLine="1200" w:firstLineChars="400"/>
        <w:rPr>
          <w:rFonts w:eastAsia="仿宋"/>
          <w:color w:val="000000"/>
          <w:sz w:val="30"/>
          <w:szCs w:val="30"/>
        </w:rPr>
      </w:pPr>
    </w:p>
    <w:p w14:paraId="0DAEA66A">
      <w:pPr>
        <w:spacing w:line="900" w:lineRule="exact"/>
        <w:ind w:firstLine="1200" w:firstLineChars="400"/>
        <w:rPr>
          <w:rFonts w:hint="eastAsia" w:eastAsia="仿宋"/>
          <w:color w:val="000000"/>
          <w:sz w:val="30"/>
          <w:szCs w:val="30"/>
        </w:rPr>
      </w:pPr>
    </w:p>
    <w:p w14:paraId="3E51819B">
      <w:pPr>
        <w:spacing w:line="900" w:lineRule="exact"/>
        <w:ind w:firstLine="0"/>
        <w:rPr>
          <w:rFonts w:eastAsia="仿宋"/>
          <w:b/>
          <w:color w:val="000000"/>
          <w:sz w:val="30"/>
          <w:szCs w:val="30"/>
        </w:rPr>
      </w:pPr>
      <w:r>
        <w:rPr>
          <w:rFonts w:ascii="宋体" w:hAnsi="宋体" w:eastAsia="宋体" w:cs="宋体"/>
          <w:b w:val="0"/>
          <w:color w:val="000000"/>
          <w:sz w:val="28"/>
        </w:rPr>
        <w:t>题    目：基于主动探索的视觉地理定位方法设计与实现</w:t>
      </w:r>
    </w:p>
    <w:p w14:paraId="60CF9142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  <w:u w:val="single"/>
        </w:rPr>
      </w:pPr>
      <w:r>
        <w:rPr>
          <w:rFonts w:ascii="宋体" w:hAnsi="宋体" w:eastAsia="宋体" w:cs="宋体"/>
          <w:b w:val="0"/>
          <w:color w:val="000000"/>
          <w:sz w:val="30"/>
        </w:rPr>
        <w:t>小组人员：陈德昕  李世显  陈龙辉</w:t>
      </w:r>
    </w:p>
    <w:p w14:paraId="586700AC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  <w:u w:val="single"/>
        </w:rPr>
      </w:pPr>
      <w:r>
        <w:rPr>
          <w:rFonts w:ascii="宋体" w:hAnsi="宋体" w:eastAsia="宋体" w:cs="宋体"/>
          <w:b w:val="0"/>
          <w:color w:val="000000"/>
          <w:sz w:val="30"/>
        </w:rPr>
        <w:t>指导老师：王笛</w:t>
      </w:r>
    </w:p>
    <w:p w14:paraId="5127BD2E">
      <w:pPr>
        <w:spacing w:line="900" w:lineRule="exact"/>
        <w:ind w:firstLine="1205" w:firstLineChars="400"/>
        <w:rPr>
          <w:rFonts w:eastAsia="仿宋"/>
          <w:b/>
          <w:color w:val="000000"/>
          <w:sz w:val="30"/>
          <w:szCs w:val="30"/>
        </w:rPr>
      </w:pPr>
      <w:r>
        <w:rPr>
          <w:rFonts w:ascii="宋体" w:hAnsi="宋体" w:eastAsia="宋体" w:cs="宋体"/>
          <w:b w:val="0"/>
          <w:color w:val="000000"/>
          <w:sz w:val="30"/>
        </w:rPr>
        <w:t>填写时间：2026 年 10 月 2 日</w:t>
      </w:r>
    </w:p>
    <w:p w14:paraId="2DFD30EC">
      <w:pPr>
        <w:ind w:firstLine="1807" w:firstLineChars="600"/>
        <w:rPr>
          <w:rFonts w:eastAsia="仿宋"/>
          <w:b/>
          <w:color w:val="000000"/>
          <w:sz w:val="30"/>
          <w:szCs w:val="30"/>
          <w:u w:val="single"/>
        </w:rPr>
      </w:pPr>
    </w:p>
    <w:p w14:paraId="535D1639">
      <w:pPr>
        <w:jc w:val="center"/>
        <w:rPr>
          <w:rFonts w:eastAsia="仿宋"/>
          <w:b/>
          <w:color w:val="000000"/>
          <w:sz w:val="30"/>
          <w:szCs w:val="30"/>
        </w:rPr>
      </w:pPr>
    </w:p>
    <w:p w14:paraId="62DFAE3A">
      <w:pPr>
        <w:jc w:val="center"/>
        <w:rPr>
          <w:rFonts w:eastAsia="仿宋"/>
          <w:b/>
          <w:color w:val="000000"/>
          <w:sz w:val="30"/>
          <w:szCs w:val="30"/>
        </w:rPr>
      </w:pPr>
    </w:p>
    <w:p w14:paraId="175A4828">
      <w:pPr>
        <w:rPr>
          <w:rFonts w:eastAsia="仿宋"/>
          <w:b/>
          <w:color w:val="000000"/>
          <w:sz w:val="30"/>
          <w:szCs w:val="30"/>
        </w:rPr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5F3E8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val="435" w:hRule="atLeast"/>
        </w:trPr>
        <w:tc>
          <w:tcPr>
            <w:tcW w:w="2518" w:type="dxa"/>
            <w:gridSpan w:val="2"/>
            <w:shd w:val="clear" w:color="auto" w:fill="auto"/>
            <w:noWrap w:val="0"/>
            <w:vAlign w:val="center"/>
          </w:tcPr>
          <w:p w14:paraId="664AD129">
            <w:pPr>
              <w:jc w:val="center"/>
              <w:rPr>
                <w:sz w:val="24"/>
              </w:rPr>
            </w:pPr>
            <w:r>
              <w:rPr>
                <w:rFonts w:hint="eastAsia" w:ascii="宋体" w:hAnsi="宋体" w:eastAsia="宋体" w:cs="宋体"/>
              </w:rPr>
              <w:t>综合</w:t>
            </w:r>
            <w:r>
              <w:rPr>
                <w:rFonts w:ascii="宋体" w:hAnsi="宋体" w:eastAsia="宋体" w:cs="宋体"/>
              </w:rPr>
              <w:t>工程</w:t>
            </w:r>
            <w:r>
              <w:rPr>
                <w:rFonts w:hint="eastAsia" w:ascii="宋体" w:hAnsi="宋体" w:eastAsia="宋体" w:cs="宋体"/>
              </w:rPr>
              <w:t>设计题目</w:t>
            </w:r>
          </w:p>
        </w:tc>
        <w:tc>
          <w:tcPr>
            <w:tcW w:w="6003" w:type="dxa"/>
            <w:gridSpan w:val="3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基于主动探索的视觉地理定位方法设计与实现</w:t>
            </w:r>
          </w:p>
        </w:tc>
      </w:tr>
      <w:tr w14:paraId="5F3C1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val="435" w:hRule="atLeast"/>
        </w:trPr>
        <w:tc>
          <w:tcPr>
            <w:tcW w:w="1101" w:type="dxa"/>
            <w:vMerge w:val="restart"/>
            <w:shd w:val="clear" w:color="auto" w:fill="auto"/>
            <w:noWrap w:val="0"/>
            <w:textDirection w:val="tbRlV"/>
            <w:vAlign w:val="center"/>
          </w:tcPr>
          <w:p w14:paraId="09DD8F82">
            <w:pPr>
              <w:ind w:left="113" w:right="113"/>
              <w:jc w:val="center"/>
            </w:pPr>
            <w:r>
              <w:rPr>
                <w:rFonts w:hint="eastAsia" w:ascii="宋体" w:hAnsi="宋体" w:eastAsia="宋体" w:cs="宋体"/>
              </w:rPr>
              <w:t>完成人</w:t>
            </w:r>
            <w:r>
              <w:rPr>
                <w:rFonts w:ascii="宋体" w:hAnsi="宋体" w:eastAsia="宋体" w:cs="宋体"/>
              </w:rPr>
              <w:t>(小组)</w:t>
            </w:r>
          </w:p>
        </w:tc>
        <w:tc>
          <w:tcPr>
            <w:tcW w:w="1417" w:type="dxa"/>
            <w:shd w:val="clear" w:color="auto" w:fill="auto"/>
            <w:noWrap w:val="0"/>
            <w:vAlign w:val="center"/>
          </w:tcPr>
          <w:p w14:paraId="23566425">
            <w:pPr>
              <w:adjustRightInd w:val="0"/>
              <w:snapToGrid w:val="0"/>
              <w:jc w:val="center"/>
            </w:pPr>
            <w:r>
              <w:rPr>
                <w:rFonts w:ascii="宋体" w:hAnsi="宋体" w:eastAsia="宋体" w:cs="宋体"/>
              </w:rPr>
              <w:t>姓名</w:t>
            </w:r>
          </w:p>
        </w:tc>
        <w:tc>
          <w:tcPr>
            <w:tcW w:w="2693" w:type="dxa"/>
            <w:gridSpan w:val="2"/>
            <w:shd w:val="clear" w:color="auto" w:fill="auto"/>
            <w:noWrap w:val="0"/>
            <w:vAlign w:val="center"/>
          </w:tcPr>
          <w:p w14:paraId="22DF1AA5">
            <w:pPr>
              <w:adjustRightInd w:val="0"/>
              <w:snapToGrid w:val="0"/>
              <w:jc w:val="center"/>
            </w:pPr>
            <w:r>
              <w:rPr>
                <w:rFonts w:hint="eastAsia" w:ascii="宋体" w:hAnsi="宋体" w:eastAsia="宋体" w:cs="宋体"/>
              </w:rPr>
              <w:t>学号</w:t>
            </w:r>
          </w:p>
        </w:tc>
        <w:tc>
          <w:tcPr>
            <w:tcW w:w="3310" w:type="dxa"/>
            <w:shd w:val="clear" w:color="auto" w:fill="auto"/>
            <w:noWrap w:val="0"/>
            <w:vAlign w:val="center"/>
          </w:tcPr>
          <w:p w14:paraId="7431F7E7">
            <w:pPr>
              <w:adjustRightInd w:val="0"/>
              <w:snapToGrid w:val="0"/>
              <w:jc w:val="center"/>
            </w:pPr>
            <w:r>
              <w:rPr>
                <w:rFonts w:hint="eastAsia" w:ascii="宋体" w:hAnsi="宋体" w:eastAsia="宋体" w:cs="宋体"/>
              </w:rPr>
              <w:t>联系方式</w:t>
            </w:r>
          </w:p>
        </w:tc>
      </w:tr>
      <w:tr w14:paraId="2B88B5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val="435" w:hRule="atLeast"/>
        </w:trPr>
        <w:tc>
          <w:tcPr>
            <w:tcW w:w="1101" w:type="dxa"/>
            <w:vMerge w:val="continue"/>
            <w:shd w:val="clear" w:color="auto" w:fill="auto"/>
            <w:noWrap w:val="0"/>
            <w:textDirection w:val="tbRlV"/>
            <w:vAlign w:val="top"/>
          </w:tcPr>
          <w:p w14:paraId="71A3FEE8">
            <w:pPr>
              <w:ind w:left="113" w:right="113"/>
              <w:jc w:val="center"/>
            </w:pPr>
          </w:p>
        </w:tc>
        <w:tc>
          <w:tcPr>
            <w:tcW w:w="1417" w:type="dxa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陈德昕</w:t>
            </w:r>
          </w:p>
        </w:tc>
        <w:tc>
          <w:tcPr>
            <w:tcW w:w="2693" w:type="dxa"/>
            <w:gridSpan w:val="2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23009200711</w:t>
            </w:r>
          </w:p>
        </w:tc>
        <w:tc>
          <w:tcPr>
            <w:tcW w:w="3310" w:type="dxa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13873485203</w:t>
            </w:r>
          </w:p>
        </w:tc>
      </w:tr>
      <w:tr w14:paraId="250051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val="435" w:hRule="atLeast"/>
        </w:trPr>
        <w:tc>
          <w:tcPr>
            <w:tcW w:w="1101" w:type="dxa"/>
            <w:vMerge w:val="continue"/>
            <w:shd w:val="clear" w:color="auto" w:fill="auto"/>
            <w:noWrap w:val="0"/>
            <w:textDirection w:val="tbRlV"/>
            <w:vAlign w:val="top"/>
          </w:tcPr>
          <w:p w14:paraId="5C6B87E8">
            <w:pPr>
              <w:ind w:left="113" w:right="113"/>
              <w:jc w:val="center"/>
            </w:pPr>
          </w:p>
        </w:tc>
        <w:tc>
          <w:tcPr>
            <w:tcW w:w="1417" w:type="dxa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李世显</w:t>
            </w:r>
          </w:p>
        </w:tc>
        <w:tc>
          <w:tcPr>
            <w:tcW w:w="2693" w:type="dxa"/>
            <w:gridSpan w:val="2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23009201269</w:t>
            </w:r>
          </w:p>
        </w:tc>
        <w:tc>
          <w:tcPr>
            <w:tcW w:w="3310" w:type="dxa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19232921893</w:t>
            </w:r>
          </w:p>
        </w:tc>
      </w:tr>
      <w:tr w14:paraId="17CBC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val="435" w:hRule="atLeast"/>
        </w:trPr>
        <w:tc>
          <w:tcPr>
            <w:tcW w:w="1101" w:type="dxa"/>
            <w:vMerge w:val="continue"/>
            <w:shd w:val="clear" w:color="auto" w:fill="auto"/>
            <w:noWrap w:val="0"/>
            <w:textDirection w:val="tbRlV"/>
            <w:vAlign w:val="top"/>
          </w:tcPr>
          <w:p w14:paraId="1F323558">
            <w:pPr>
              <w:ind w:left="113" w:right="113"/>
              <w:jc w:val="center"/>
            </w:pPr>
          </w:p>
        </w:tc>
        <w:tc>
          <w:tcPr>
            <w:tcW w:w="1417" w:type="dxa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陈龙辉</w:t>
            </w:r>
          </w:p>
        </w:tc>
        <w:tc>
          <w:tcPr>
            <w:tcW w:w="2693" w:type="dxa"/>
            <w:gridSpan w:val="2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23009200692</w:t>
            </w:r>
          </w:p>
        </w:tc>
        <w:tc>
          <w:tcPr>
            <w:tcW w:w="3310" w:type="dxa"/>
            <w:shd w:val="clear" w:color="auto" w:fill="auto"/>
            <w:noWrap w:val="0"/>
            <w:vAlign w:val="top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13377762888</w:t>
            </w:r>
          </w:p>
        </w:tc>
      </w:tr>
      <w:tr w14:paraId="36AF4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val="586" w:hRule="atLeast"/>
        </w:trPr>
        <w:tc>
          <w:tcPr>
            <w:tcW w:w="1101" w:type="dxa"/>
            <w:shd w:val="clear" w:color="auto" w:fill="auto"/>
            <w:noWrap w:val="0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指导教师</w:t>
            </w:r>
          </w:p>
        </w:tc>
        <w:tc>
          <w:tcPr>
            <w:tcW w:w="1417" w:type="dxa"/>
            <w:shd w:val="clear" w:color="auto" w:fill="auto"/>
            <w:noWrap w:val="0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姓名</w:t>
            </w:r>
          </w:p>
        </w:tc>
        <w:tc>
          <w:tcPr>
            <w:tcW w:w="1559" w:type="dxa"/>
            <w:shd w:val="clear" w:color="auto" w:fill="auto"/>
            <w:noWrap w:val="0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王笛</w:t>
            </w:r>
          </w:p>
        </w:tc>
        <w:tc>
          <w:tcPr>
            <w:tcW w:w="1134" w:type="dxa"/>
            <w:shd w:val="clear" w:color="auto" w:fill="auto"/>
            <w:noWrap w:val="0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联系方式</w:t>
            </w:r>
          </w:p>
        </w:tc>
        <w:tc>
          <w:tcPr>
            <w:tcW w:w="3310" w:type="dxa"/>
            <w:shd w:val="clear" w:color="auto" w:fill="auto"/>
            <w:noWrap w:val="0"/>
            <w:vAlign w:val="center"/>
          </w:tcPr>
          <w:p>
            <w:pPr>
              <w:spacing w:line="276" w:lineRule="auto"/>
              <w:jc w:val="center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13571816616 /wangdi@xidian.edu.cn</w:t>
            </w:r>
          </w:p>
        </w:tc>
      </w:tr>
      <w:tr w14:paraId="61D8D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一、设计目标与任务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项目面向无人机等智能体的主动视觉地理定位任务，构建局部航拍观察与环境交互平台。给定目标图像和起始位置，智能体利用连续获得的视觉信息，自主选择探索方向，在有限行动预算内到达目标网格。当前已完成平台、单智能体主方法及分阶段验收，并完成网格密度与跨数据集同模态扩展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任务采用上、右、下、左四方向移动。原协议为5×5网格、10步预算，扩展协议为10×10网格、20步预算。越界移动停留原地并扣一步；首次到达目标立即成功，最后一步到达仍计成功。策略可读取目标图、当前图、公开位置、剩余预算和访问历史；目标坐标、真实距离和未访问图块仅由环境及评测端掌握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地方法借鉴GOMAA-Geo的主动定位任务、航拍切图与序列决策思路，采用小型GRU和强化学习适配本机资源；GeoExplorer的好奇心探索与DynCur-Geo的动态奖励思路已作受控对照。上述借鉴不等于完整复现原论文，多模态目标与全部论文基准尚未覆盖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当前正式要求允许训练小模型，多Agent属于可选拓展。已经验收的主方法是训练过的单导航智能体模块系统。后续以成功率、目标图贡献、同预算比较和独立源文件证据共同评价方法，不以增加角色或模型规模本身作为进展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二、完成情况</w:t>
            </w:r>
          </w:p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（一）平台 数据与统一评测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已完成图块处理、任务清单、局部观察环境、四方向动作、奖励构造及终止规则修复；训练与推理保持合法动作筛选一致。训练可用真实距离构造奖励，执行策略不读取该真值。视觉输入去除文件名和元数据线索，源文件与图块哈希记录来源。</w:t>
            </w:r>
          </w:p>
          <w:tbl>
            <w:tblPr>
              <w:tblW w:type="dxa" w:w="7881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000000"/>
                <w:left w:val="single" w:sz="4" w:color="000000"/>
                <w:bottom w:val="single" w:sz="4" w:color="000000"/>
                <w:right w:val="single" w:sz="4" w:color="000000"/>
                <w:insideH w:val="single" w:sz="4" w:color="000000"/>
                <w:insideV w:val="single" w:sz="4" w:color="000000"/>
              </w:tblBorders>
            </w:tblPr>
            <w:tblGrid>
              <w:gridCol w:w="2438"/>
              <w:gridCol w:w="2268"/>
              <w:gridCol w:w="3175"/>
            </w:tblGrid>
            <w:tr>
              <w:trPr>
                <w:cantSplit/>
                <w:tblHeader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数据来源</w:t>
                  </w:r>
                </w:p>
              </w:tc>
              <w:tc>
                <w:tcPr>
                  <w:tcW w:type="dxa" w:w="226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本地源文件</w:t>
                  </w:r>
                </w:p>
              </w:tc>
              <w:tc>
                <w:tcPr>
                  <w:tcW w:type="dxa" w:w="317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当前角色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Masa航拍</w:t>
                  </w:r>
                </w:p>
              </w:tc>
              <w:tc>
                <w:tcPr>
                  <w:tcW w:type="dxa" w:w="226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137训练 / 4验证 / 10测试</w:t>
                  </w:r>
                </w:p>
              </w:tc>
              <w:tc>
                <w:tcPr>
                  <w:tcW w:type="dxa" w:w="317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探索器109拟合；28已知开发留出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视觉头训练划分</w:t>
                  </w:r>
                </w:p>
              </w:tc>
              <w:tc>
                <w:tcPr>
                  <w:tcW w:type="dxa" w:w="226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87拟合 / 22校准</w:t>
                  </w:r>
                </w:p>
              </w:tc>
              <w:tc>
                <w:tcPr>
                  <w:tcW w:type="dxa" w:w="317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均值与0.50阈值先冻结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SwissView100</w:t>
                  </w:r>
                </w:p>
              </w:tc>
              <w:tc>
                <w:tcPr>
                  <w:tcW w:type="dxa" w:w="226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100张；48已用于导航</w:t>
                  </w:r>
                </w:p>
              </w:tc>
              <w:tc>
                <w:tcPr>
                  <w:tcW w:type="dxa" w:w="317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跨数据集同模态验证；52尚未跑导航</w:t>
                  </w:r>
                </w:p>
              </w:tc>
            </w:tr>
          </w:tbl>
          <w:p>
            <w:pPr>
              <w:spacing w:after="0" w:line="40" w:lineRule="exact"/>
              <w:snapToGrid w:val="0"/>
            </w:pPr>
            <w:r>
              <w:rPr>
                <w:rFonts w:ascii="宋体" w:hAnsi="宋体" w:eastAsia="宋体" w:cs="宋体"/>
                <w:b w:val="0"/>
                <w:color w:val="000000"/>
                <w:sz w:val="4"/>
              </w:rPr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Masa来自Massachusetts Buildings公开航拍资料，当前本地规模为151源文件；SwissView100为瑞士航拍子集。源文件隔离不表示严格地理足迹无重叠，也不排除冻结预训练编码器曾覆盖相同地域。任务ID、重复路线与独立源文件分开统计。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SR为预算内成功题数除以计划题数；SG为全部终局的曼哈顿距离均值，成功记0。另记录工程完成率、重访、越界、分距离指标和调用时延。云端中断单列并按协议处理，不能用程序完成替代定位成功。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每批保留预登记、源名单、模型与数据哈希、源码快照、逐步动作、终局指标和重放审计。三份训练权重全部纳入，API重复不当训练种子，重复题不增加独立地图。主线各批验收通过，最新两批合计12000条轨迹、181282动作完成重放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（二）单智能体方法与目标视觉证据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主方法采用冻结Sat2Cap图像编码器、约80万参数Small256 GRU探索器和EdgeTargetCue视觉线索头。探索器以当前图像、跨步状态和公开访问信息产生探索动作；NoTarget表示探索器的目标通道使用固定训练均值，系统中的目标匹配由专门视觉头完成。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视觉头比较给定目标与当前图的语义、局部关系及细边缘连续性，判断可信邻接方向。仅当最高方向置信度达到0.50、动作合法且落点未访问时接管；其余状态沿用探索器。策略每步只获得当前图与给定目标图对应特征，不查询未知邻格图像。</w:t>
            </w:r>
          </w:p>
          <w:p>
            <w:pPr>
              <w:keepNext/>
              <w:snapToGrid w:val="0"/>
              <w:spacing w:before="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475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报告_Agent闭环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47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pageBreakBefore w:val="0"/>
              <w:widowControl/>
              <w:snapToGrid w:val="0"/>
              <w:spacing w:before="0" w:after="80" w:line="264" w:lineRule="auto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图1  当前单智能体的观察 决策 行动反馈闭环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S2固定val100×3同题对照中，无视觉线索SR为73.00%，真实目标为89.33%，均值与错误目标为69.00%与69.67%。目标贡献与工程门槛均通过，说明本队列上目标线索能够增加实际成功，而非仅改变输出动作。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PBRS与合法动作筛选作为基础训练与执行机制保留；好奇心奖励、网络扩容和若干目标监督候选未形成稳定收益。探索器与视觉头是单智能体内部模块，不能将这一结构称为多智能体协作。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（三）正式分阶段验收与迁移结果</w:t>
            </w:r>
          </w:p>
          <w:p>
            <w:pPr>
              <w:keepNext/>
              <w:pageBreakBefore w:val="0"/>
              <w:widowControl/>
              <w:snapToGrid w:val="0"/>
              <w:spacing w:before="0" w:after="80" w:line="264" w:lineRule="auto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表1  当前冻结主方法的已通过验收</w:t>
            </w:r>
          </w:p>
          <w:tbl>
            <w:tblPr>
              <w:tblW w:type="dxa" w:w="7881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000000"/>
                <w:left w:val="single" w:sz="4" w:color="000000"/>
                <w:bottom w:val="single" w:sz="4" w:color="000000"/>
                <w:right w:val="single" w:sz="4" w:color="000000"/>
                <w:insideH w:val="single" w:sz="4" w:color="000000"/>
                <w:insideV w:val="single" w:sz="4" w:color="000000"/>
              </w:tblBorders>
            </w:tblPr>
            <w:tblGrid>
              <w:gridCol w:w="1871"/>
              <w:gridCol w:w="1757"/>
              <w:gridCol w:w="1474"/>
              <w:gridCol w:w="1417"/>
              <w:gridCol w:w="1361"/>
            </w:tblGrid>
            <w:tr>
              <w:trPr>
                <w:cantSplit/>
                <w:tblHeader/>
              </w:trPr>
              <w:tc>
                <w:tcPr>
                  <w:tcW w:type="dxa" w:w="187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验收</w:t>
                  </w:r>
                </w:p>
              </w:tc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源图 / 每权重任务</w:t>
                  </w:r>
                </w:p>
              </w:tc>
              <w:tc>
                <w:tcPr>
                  <w:tcW w:type="dxa" w:w="1474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协议</w:t>
                  </w:r>
                </w:p>
              </w:tc>
              <w:tc>
                <w:tcPr>
                  <w:tcW w:type="dxa" w:w="141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平均SR</w:t>
                  </w:r>
                </w:p>
              </w:tc>
              <w:tc>
                <w:tcPr>
                  <w:tcW w:type="dxa" w:w="136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平均SG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S2稳定验证</w:t>
                  </w:r>
                </w:p>
              </w:tc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4 / 100</w:t>
                  </w:r>
                </w:p>
              </w:tc>
              <w:tc>
                <w:tcPr>
                  <w:tcW w:type="dxa" w:w="1474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5×5 / B10</w:t>
                  </w:r>
                </w:p>
              </w:tc>
              <w:tc>
                <w:tcPr>
                  <w:tcW w:type="dxa" w:w="141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89.33%</w:t>
                  </w:r>
                </w:p>
              </w:tc>
              <w:tc>
                <w:tcPr>
                  <w:tcW w:type="dxa" w:w="136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0.320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S3独立源图</w:t>
                  </w:r>
                </w:p>
              </w:tc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10 / 250</w:t>
                  </w:r>
                </w:p>
              </w:tc>
              <w:tc>
                <w:tcPr>
                  <w:tcW w:type="dxa" w:w="1474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5×5 / B10</w:t>
                  </w:r>
                </w:p>
              </w:tc>
              <w:tc>
                <w:tcPr>
                  <w:tcW w:type="dxa" w:w="141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86.80%</w:t>
                  </w:r>
                </w:p>
              </w:tc>
              <w:tc>
                <w:tcPr>
                  <w:tcW w:type="dxa" w:w="136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0.300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S4密度扩展</w:t>
                  </w:r>
                </w:p>
              </w:tc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20 / 500</w:t>
                  </w:r>
                </w:p>
              </w:tc>
              <w:tc>
                <w:tcPr>
                  <w:tcW w:type="dxa" w:w="1474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10×10 / B20</w:t>
                  </w:r>
                </w:p>
              </w:tc>
              <w:tc>
                <w:tcPr>
                  <w:tcW w:type="dxa" w:w="141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77.13%</w:t>
                  </w:r>
                </w:p>
              </w:tc>
              <w:tc>
                <w:tcPr>
                  <w:tcW w:type="dxa" w:w="136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1.201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87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SwissView迁移</w:t>
                  </w:r>
                </w:p>
              </w:tc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20 / 500</w:t>
                  </w:r>
                </w:p>
              </w:tc>
              <w:tc>
                <w:tcPr>
                  <w:tcW w:type="dxa" w:w="1474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5×5 / B10</w:t>
                  </w:r>
                </w:p>
              </w:tc>
              <w:tc>
                <w:tcPr>
                  <w:tcW w:type="dxa" w:w="141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86.80%</w:t>
                  </w:r>
                </w:p>
              </w:tc>
              <w:tc>
                <w:tcPr>
                  <w:tcW w:type="dxa" w:w="136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0.381</w:t>
                  </w:r>
                </w:p>
              </w:tc>
            </w:tr>
          </w:tbl>
          <w:p>
            <w:pPr>
              <w:spacing w:after="0" w:line="40" w:lineRule="exact"/>
              <w:snapToGrid w:val="0"/>
            </w:pPr>
            <w:r>
              <w:rPr>
                <w:rFonts w:ascii="宋体" w:hAnsi="宋体" w:eastAsia="宋体" w:cs="宋体"/>
                <w:b w:val="0"/>
                <w:color w:val="000000"/>
                <w:sz w:val="4"/>
              </w:rPr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表内均为三份冻结训练权重的平均结果。S2使用4验证源文件，S3使用10测试源文件；S4的20源文件已用于此前开发，属于密度扩展工程确认。SwissView迁移使用固定20新源文件，未为迁移进行任务适配训练。</w:t>
            </w:r>
          </w:p>
          <w:p>
            <w:pPr>
              <w:keepNext/>
              <w:snapToGrid w:val="0"/>
              <w:spacing w:before="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205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报告_主线验收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20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pageBreakBefore w:val="0"/>
              <w:widowControl/>
              <w:snapToGrid w:val="0"/>
              <w:spacing w:before="0" w:after="80" w:line="264" w:lineRule="auto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图2  四项阶段验收协议的成功率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各队列的数据、距离和预算不同，图表用于分别展示验收结果，不能把不同队列的分数连接为受控提升曲线，也不能直接与论文不同协议的结果相减。10×10仍在同一原图足迹内提高切图密度，尚未扩大实际地理覆盖范围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（四）继续训练候选与独立确认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最近保持Small256、目标头、0.50阈值和合法动作规则，比较5×5继续训练Continue5与10×10适配Adapt10。两臂各三模型、每模型81920实际训练动作与1024优化器更新，全部训练及复核结束后统一使用最终权重评测，未挑最好轮次或种子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同20已见Masa源文件、500题×3的10×10评测：原M0为77.13%/SG1.201，Continue5为79.73%/0.823，Adapt10为80.00%/1.059。Adapt10较Continue5仅增加0.27点且SG更差，未通过同预算协议升级条件。</w:t>
            </w:r>
          </w:p>
          <w:p>
            <w:pPr>
              <w:keepNext/>
              <w:pageBreakBefore w:val="0"/>
              <w:widowControl/>
              <w:snapToGrid w:val="0"/>
              <w:spacing w:before="0" w:after="80" w:line="264" w:lineRule="auto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表2  Continue5的冻结目标对照</w:t>
            </w:r>
          </w:p>
          <w:tbl>
            <w:tblPr>
              <w:tblW w:type="dxa" w:w="7881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000000"/>
                <w:left w:val="single" w:sz="4" w:color="000000"/>
                <w:bottom w:val="single" w:sz="4" w:color="000000"/>
                <w:right w:val="single" w:sz="4" w:color="000000"/>
                <w:insideH w:val="single" w:sz="4" w:color="000000"/>
                <w:insideV w:val="single" w:sz="4" w:color="000000"/>
              </w:tblBorders>
            </w:tblPr>
            <w:tblGrid>
              <w:gridCol w:w="4025"/>
              <w:gridCol w:w="1928"/>
              <w:gridCol w:w="1928"/>
            </w:tblGrid>
            <w:tr>
              <w:trPr>
                <w:cantSplit/>
                <w:tblHeader/>
              </w:trPr>
              <w:tc>
                <w:tcPr>
                  <w:tcW w:type="dxa" w:w="402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条件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平均SR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平均SG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2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真实目标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79.73%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0.823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2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禁用视觉线索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59.40%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1.723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2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均值目标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52.20%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1.877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02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错误目标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57.20%</w:t>
                  </w:r>
                </w:p>
              </w:tc>
              <w:tc>
                <w:tcPr>
                  <w:tcW w:type="dxa" w:w="192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1.698</w:t>
                  </w:r>
                </w:p>
              </w:tc>
            </w:tr>
          </w:tbl>
          <w:p>
            <w:pPr>
              <w:spacing w:after="0" w:line="40" w:lineRule="exact"/>
              <w:snapToGrid w:val="0"/>
            </w:pPr>
            <w:r>
              <w:rPr>
                <w:rFonts w:ascii="宋体" w:hAnsi="宋体" w:eastAsia="宋体" w:cs="宋体"/>
                <w:b w:val="0"/>
                <w:color w:val="000000"/>
                <w:sz w:val="4"/>
              </w:rPr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真实目标1500条按SHA复用并重新审计，三控制新增4500条。均值与错目标同时作用于全局、局部、边缘目标通道；环境仍按真实目标判分。真实目标对三控制均超过预定5点SR收益、至少两份权重为正且SG不差，目标证据通过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随后固定此前预留SwissView40—59号20新源文件，分别执行5×5/B10与10×10/B20，原M0与Continue5共6000条主轨迹。任务和源名单在新导航前冻结，不因结果更换样本。该20源文件已消费，后续不能重复当作未见确认。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（四）继续训练候选与独立确认 续</w:t>
            </w:r>
          </w:p>
          <w:p>
            <w:pPr>
              <w:keepNext/>
              <w:pageBreakBefore w:val="0"/>
              <w:widowControl/>
              <w:snapToGrid w:val="0"/>
              <w:spacing w:before="0" w:after="80" w:line="264" w:lineRule="auto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表3  同20新源文件的逐题配对结果</w:t>
            </w:r>
          </w:p>
          <w:tbl>
            <w:tblPr>
              <w:tblW w:type="dxa" w:w="7881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000000"/>
                <w:left w:val="single" w:sz="4" w:color="000000"/>
                <w:bottom w:val="single" w:sz="4" w:color="000000"/>
                <w:right w:val="single" w:sz="4" w:color="000000"/>
                <w:insideH w:val="single" w:sz="4" w:color="000000"/>
                <w:insideV w:val="single" w:sz="4" w:color="000000"/>
              </w:tblBorders>
            </w:tblPr>
            <w:tblGrid>
              <w:gridCol w:w="2438"/>
              <w:gridCol w:w="2721"/>
              <w:gridCol w:w="2721"/>
            </w:tblGrid>
            <w:tr>
              <w:trPr>
                <w:cantSplit/>
                <w:tblHeader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新源协议</w:t>
                  </w:r>
                </w:p>
              </w:tc>
              <w:tc>
                <w:tcPr>
                  <w:tcW w:type="dxa" w:w="272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原M0 SR / SG</w:t>
                  </w:r>
                </w:p>
              </w:tc>
              <w:tc>
                <w:tcPr>
                  <w:tcW w:type="dxa" w:w="272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Continue5 SR / SG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5×5</w:t>
                  </w:r>
                </w:p>
              </w:tc>
              <w:tc>
                <w:tcPr>
                  <w:tcW w:type="dxa" w:w="272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86.73% / 0.334</w:t>
                  </w:r>
                </w:p>
              </w:tc>
              <w:tc>
                <w:tcPr>
                  <w:tcW w:type="dxa" w:w="272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87.40% / 0.310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43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10×10</w:t>
                  </w:r>
                </w:p>
              </w:tc>
              <w:tc>
                <w:tcPr>
                  <w:tcW w:type="dxa" w:w="272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72.07% / 1.230</w:t>
                  </w:r>
                </w:p>
              </w:tc>
              <w:tc>
                <w:tcPr>
                  <w:tcW w:type="dxa" w:w="2721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72.67% / 0.868</w:t>
                  </w:r>
                </w:p>
              </w:tc>
            </w:tr>
          </w:tbl>
          <w:p>
            <w:pPr>
              <w:spacing w:after="0" w:line="40" w:lineRule="exact"/>
              <w:snapToGrid w:val="0"/>
            </w:pPr>
            <w:r>
              <w:rPr>
                <w:rFonts w:ascii="宋体" w:hAnsi="宋体" w:eastAsia="宋体" w:cs="宋体"/>
                <w:b w:val="0"/>
                <w:color w:val="000000"/>
                <w:sz w:val="4"/>
              </w:rPr>
            </w:r>
          </w:p>
          <w:p>
            <w:pPr>
              <w:keepNext/>
              <w:snapToGrid w:val="0"/>
              <w:spacing w:before="40"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860000" cy="238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报告_新源文件确认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60000" cy="23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pageBreakBefore w:val="0"/>
              <w:widowControl/>
              <w:snapToGrid w:val="0"/>
              <w:spacing w:before="0" w:after="80" w:line="264" w:lineRule="auto"/>
              <w:jc w:val="center"/>
            </w:pPr>
            <w:r>
              <w:rPr>
                <w:rFonts w:ascii="宋体" w:hAnsi="宋体" w:eastAsia="宋体" w:cs="宋体"/>
                <w:b/>
                <w:color w:val="000000"/>
                <w:sz w:val="21"/>
              </w:rPr>
              <w:t>图3  独立新源文件的成功率与全终局距离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5×5达到预定性能保护要求。新10×10的SR仅增加0.60个百分点，三权重为持平、下降1.60点、提升3.40点，只有1/3正收益；按20源文件成组重采样的95% SR差区间为[−0.87，+2.27]点。SG下降0.362格，但不能替代成功率和一致性要求。因此新候选未通过升级，原默认及已验收主线保持。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新10×10配对恢复185条、损伤176条，净增加9/1500条；5×5恢复68、损伤58。保留双方的恢复与损伤，避免只展示新增成功。主门槛失败后未追加4500条新图目标对照，也未调参数或继续训练追求通过。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6000新源轨迹、74987动作重放一致；2500派生图块从原图重建，编码器与边缘特征重新计算一致。全部3000条5×5记录与原推理包装器逐步相同，排除包装器改动造成的原协议行为差异。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（五）其他受控探索与阶段产出</w:t>
            </w:r>
          </w:p>
          <w:tbl>
            <w:tblPr>
              <w:tblW w:type="dxa" w:w="7881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000000"/>
                <w:left w:val="single" w:sz="4" w:color="000000"/>
                <w:bottom w:val="single" w:sz="4" w:color="000000"/>
                <w:right w:val="single" w:sz="4" w:color="000000"/>
                <w:insideH w:val="single" w:sz="4" w:color="000000"/>
                <w:insideV w:val="single" w:sz="4" w:color="000000"/>
              </w:tblBorders>
            </w:tblPr>
            <w:tblGrid>
              <w:gridCol w:w="1757"/>
              <w:gridCol w:w="3118"/>
              <w:gridCol w:w="3005"/>
            </w:tblGrid>
            <w:tr>
              <w:trPr>
                <w:cantSplit/>
                <w:tblHeader/>
              </w:trPr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因素</w:t>
                  </w:r>
                </w:p>
              </w:tc>
              <w:tc>
                <w:tcPr>
                  <w:tcW w:type="dxa" w:w="311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已完成验证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处理结果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目标视觉匹配</w:t>
                  </w:r>
                </w:p>
              </w:tc>
              <w:tc>
                <w:tcPr>
                  <w:tcW w:type="dxa" w:w="311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语义、局部关系、邻接判定、细边缘线索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边缘线索形成已验收主方案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旋转与接受可靠性</w:t>
                  </w:r>
                </w:p>
              </w:tc>
              <w:tc>
                <w:tcPr>
                  <w:tcW w:type="dxa" w:w="311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四朝向搜索、阈值校准、旋转负样本与高分负例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存在精度/召回权衡，候选未稳定升级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多角色协作</w:t>
                  </w:r>
                </w:p>
              </w:tc>
              <w:tc>
                <w:tcPr>
                  <w:tcW w:type="dxa" w:w="311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同模型、同信息和调用预算的反思/双角色对照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接口修复后仍无足够SR收益，支线收束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零调用账本规划</w:t>
                  </w:r>
                </w:p>
              </w:tc>
              <w:tc>
                <w:tcPr>
                  <w:tcW w:type="dxa" w:w="311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完整500题×3及保护/邻域覆盖单因素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账本SR+1.27点，低成本备选；保护因素未过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75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训练协议适配</w:t>
                  </w:r>
                </w:p>
              </w:tc>
              <w:tc>
                <w:tcPr>
                  <w:tcW w:type="dxa" w:w="311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Small256同预算5×5继续训练与10×10适配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适配未过；继续训练目标证据过、独立升级未过</w:t>
                  </w:r>
                </w:p>
              </w:tc>
            </w:tr>
          </w:tbl>
          <w:p>
            <w:pPr>
              <w:spacing w:after="0" w:line="40" w:lineRule="exact"/>
              <w:snapToGrid w:val="0"/>
            </w:pPr>
            <w:r>
              <w:rPr>
                <w:rFonts w:ascii="宋体" w:hAnsi="宋体" w:eastAsia="宋体" w:cs="宋体"/>
                <w:b w:val="0"/>
                <w:color w:val="000000"/>
                <w:sz w:val="4"/>
              </w:rPr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云端Gemma与DeepSeek已接入并完成同策略小队列比较；接口成功与策略有效分开记录。云端完整S2曾受超时、限流影响，不能把本地正式验收移用于云端。后续协作先完成静态触发、消息诊断和同预算闭环，已测配置未支持扩大Agent数量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当前材料包括完整实验索引、冻结配置、训练/评测代码、逐步日志、哈希与复核回执；科研目录已有35张结果图、2张架构/边界图，包含PNG、PDF和SVG来源清单。报告、阶段总结及中期汇报采用同一指标口径，失败候选按原批次保留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本次材料优化不新增训练或导航评测。原始数据、模型、代码和实验路径保持；历史说明按当时状态归档，新结果通过当前入口索引。重复快照承载原批证据，不因字节相同而删除。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三、存在的主要问题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1. 适用条件仍有限。当前主方案在同源、连续、方向一致的航拍切图中利用边缘连续性。真实异时、季节、任意角度、跨视角或不同目标模态尚未验证；该线索可能随成像变化失效。已完成的目标扰动实验用于界定这一范围，不据干净数据高SR推断真实无人机鲁棒性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2. 更大实际区域仍待验证。10×10是同一原图内更密集的切分，并非扩大真实覆盖面积。当前定位输出为目标网格，尚未输出经纬度或接入飞控、里程计和真实航行安全约束。大范围未知区域的课程问题已在仿真中建立，实际部署仍有工作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3. 独立样本与统计证据有限。S2仅4源文件，任务可能重复；SwissView累计48文件用于导航，52尚未使用。最新双网格共用20文件，不能称40独立地图。按源文件成组计算区间仍不证明地理无重叠或预训练编码器无覆盖。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4. 新因素收益不稳定。Continue5在已见开发队列上SR增加2.60点，在新10×10队列只增加0.60点。相同题上恢复185条也损伤176条，说明策略替换存在权衡；SG降低具有意义，但稳定增加预算内成功仍是首要问题。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5. 多Agent与云端能力属于未证实拓展。当前主系统仍是单智能体模块组合，已有多角色小实验没有稳定收益。云端输出和视觉转发问题需按服务配置分别验证；本地验收不代表任意云端模型有效。正式任务允许训练，整体系统不能称零训练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6. 文档与工程维护需要持续同步。早期报告停留在66%与S2未通过，已与当前主线不一致。本次修订将阶段判定、样本数量和失效范围统一；历史版本保留原状态，后续新实验须另建批次，不覆盖旧验收。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四、下一步需要完成的工作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先收束已完成探索，保留当前已验收默认及Continue5的低SG结果，完善课程中期检查和答辩材料。新增实验应由明确失败证据驱动，采用单因素、固定预算和独立确认；不持续扩大网络、角色数量或重复使用同一开发集调到过线。</w:t>
            </w:r>
          </w:p>
          <w:tbl>
            <w:tblPr>
              <w:tblW w:type="dxa" w:w="7881"/>
              <w:jc w:val="center"/>
              <w:tblLayout w:type="fixed"/>
              <w:tblLook w:firstColumn="1" w:firstRow="1" w:lastColumn="0" w:lastRow="0" w:noHBand="0" w:noVBand="1" w:val="04A0"/>
              <w:tblBorders>
                <w:top w:val="single" w:sz="4" w:color="000000"/>
                <w:left w:val="single" w:sz="4" w:color="000000"/>
                <w:bottom w:val="single" w:sz="4" w:color="000000"/>
                <w:right w:val="single" w:sz="4" w:color="000000"/>
                <w:insideH w:val="single" w:sz="4" w:color="000000"/>
                <w:insideV w:val="single" w:sz="4" w:color="000000"/>
              </w:tblBorders>
            </w:tblPr>
            <w:tblGrid>
              <w:gridCol w:w="1077"/>
              <w:gridCol w:w="3005"/>
              <w:gridCol w:w="3798"/>
            </w:tblGrid>
            <w:tr>
              <w:trPr>
                <w:cantSplit/>
                <w:tblHeader/>
              </w:trPr>
              <w:tc>
                <w:tcPr>
                  <w:tcW w:type="dxa" w:w="107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顺序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后续工作</w:t>
                  </w:r>
                </w:p>
              </w:tc>
              <w:tc>
                <w:tcPr>
                  <w:tcW w:type="dxa" w:w="379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/>
                      <w:color w:val="000000"/>
                      <w:sz w:val="21"/>
                    </w:rPr>
                    <w:t>检查点与交付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近期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同步中期报告、阶段总结、汇报与目录索引</w:t>
                  </w:r>
                </w:p>
              </w:tc>
              <w:tc>
                <w:tcPr>
                  <w:tcW w:type="dxa" w:w="379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指标来源、样本数、默认状态与边界一致；原文件保护和全页版面核验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下一研究因素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分析新图成功损伤及剩余行动机会，选一个可检验假设</w:t>
                  </w:r>
                </w:p>
              </w:tc>
              <w:tc>
                <w:tcPr>
                  <w:tcW w:type="dxa" w:w="379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先冻结同预算对照和停止条件，再执行；无明确SR收益则收束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扩展条件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选实际区域扩大或更真实目标条件中的一项</w:t>
                  </w:r>
                </w:p>
              </w:tc>
              <w:tc>
                <w:tcPr>
                  <w:tcW w:type="dxa" w:w="379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使用新的预留源文件；目标图贡献与SR/SG共同检查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可选演示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制作轨迹回放以展示观察、线索和动作</w:t>
                  </w:r>
                </w:p>
              </w:tc>
              <w:tc>
                <w:tcPr>
                  <w:tcW w:type="dxa" w:w="379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只读已保存轨迹；界面不改变环境、答案权限或评测规则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1077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最终交付</w:t>
                  </w:r>
                </w:p>
              </w:tc>
              <w:tc>
                <w:tcPr>
                  <w:tcW w:type="dxa" w:w="3005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课程总结、证据链、可运行入口与复现实验说明</w:t>
                  </w:r>
                </w:p>
              </w:tc>
              <w:tc>
                <w:tcPr>
                  <w:tcW w:type="dxa" w:w="3798"/>
                  <w:vAlign w:val="center"/>
                  <w:tcMar>
                    <w:top w:w="55" w:type="dxa"/>
                    <w:bottom w:w="55" w:type="dxa"/>
                    <w:left w:w="65" w:type="dxa"/>
                    <w:right w:w="65" w:type="dxa"/>
                  </w:tcMar>
                </w:tcPr>
                <w:p>
                  <w:pPr>
                    <w:spacing w:line="276" w:lineRule="auto" w:after="0" w:before="0"/>
                    <w:snapToGrid w:val="0"/>
                    <w:jc w:val="center"/>
                  </w:pPr>
                  <w:r>
                    <w:rPr>
                      <w:rFonts w:ascii="宋体" w:hAnsi="宋体" w:eastAsia="宋体" w:cs="宋体"/>
                      <w:b w:val="0"/>
                      <w:color w:val="000000"/>
                      <w:sz w:val="21"/>
                    </w:rPr>
                    <w:t>区分仿真结果与实飞目标；报告负结果和资源预算</w:t>
                  </w:r>
                </w:p>
              </w:tc>
            </w:tr>
          </w:tbl>
          <w:p>
            <w:pPr>
              <w:spacing w:after="0" w:line="40" w:lineRule="exact"/>
              <w:snapToGrid w:val="0"/>
            </w:pPr>
            <w:r>
              <w:rPr>
                <w:rFonts w:ascii="宋体" w:hAnsi="宋体" w:eastAsia="宋体" w:cs="宋体"/>
                <w:b w:val="0"/>
                <w:color w:val="000000"/>
                <w:sz w:val="4"/>
              </w:rPr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新候选按对应冻结协议判断：最近探索升级采用SR至少增加2点、至少2/3正权重、SG不差；目标干预要求真实目标对控制至少增加5点。独立确认另要求源文件区间支持收益，并保护原协议性能。具体门槛以运行前协议为准，不能把单个SR达到60%当所有阶段通过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60" w:line="360" w:lineRule="auto"/>
              <w:ind w:firstLine="480"/>
            </w:pPr>
            <w:r>
              <w:rPr>
                <w:rFonts w:ascii="宋体" w:hAnsi="宋体" w:eastAsia="宋体" w:cs="宋体"/>
                <w:b w:val="0"/>
                <w:color w:val="000000"/>
                <w:sz w:val="24"/>
              </w:rPr>
              <w:t>当前原S2/S3/S4和SwissView同模态迁移验收有效。本轮继续训练升级已收束；后续只在用户选择新因素后另立实验批次。报告记录截至2026年10月2日的实际完成工作。</w:t>
            </w:r>
          </w:p>
        </w:tc>
      </w:tr>
    </w:tbl>
    <w:p>
      <w:pPr>
        <w:pageBreakBefore/>
      </w:pPr>
    </w:p>
    <w:tbl>
      <w:tblPr>
        <w:tblStyle w:val="4"/>
        <w:tblW w:w="852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1"/>
        <w:gridCol w:w="1417"/>
        <w:gridCol w:w="1559"/>
        <w:gridCol w:w="1134"/>
        <w:gridCol w:w="3310"/>
        <w:gridCol w:w="7"/>
      </w:tblGrid>
      <w:tr w14:paraId="7D0FAB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Before w:w="0" w:type="dxa"/>
          <w:wAfter w:w="7" w:type="dxa"/>
          <w:trHeight w:hRule="auto"/>
        </w:trPr>
        <w:tc>
          <w:tcPr>
            <w:tcW w:w="8521" w:type="dxa"/>
            <w:gridSpan w:val="5"/>
            <w:shd w:val="clear" w:color="auto" w:fill="auto"/>
            <w:noWrap w:val="0"/>
            <w:vAlign w:val="top"/>
          </w:tcPr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实验依据与参考资料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实验表格取自下列已审计原目录中的汇总、验收和复核文件。完整路径、来源SHA及材料哈希保存在“编制依据.json”；当前实验入口见根目录README与“项目导航/实验索引.md”。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E1  S2稳定验证：DATA/processed_data/Masa/评测结果/边缘线索S2正式复验_v1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E2  S3独立源文件确认：DATA/processed_data/Masa/评测结果/边缘线索S3独立源图确认_v1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E3  S4十乘十密度扩展：DATA/processed_data/Masa/评测结果/S4十乘十正式扩展_v1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E4  SwissView同模态迁移：DATA/processed_data/SwissView/评测结果/五乘五正式迁移_v1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E5  冻结目标图利用证据：DATA/processed_data/Masa/评测结果/继续训练冻结目标证据复验_v1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E6  继续训练独立源图确认：DATA/processed_data/SwissView/评测结果/继续训练独立源图确认_v1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E7  同预算训练协议对照：DATA/processed_data/Masa/评测结果/探索器协议适配开发验证_v1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E8  同预算多角色闭环：DATA/processed_data/Masa/评测结果/证据账本简化接口验证_v2</w:t>
            </w:r>
          </w:p>
          <w:p>
            <w:pPr>
              <w:keepNext/>
              <w:pageBreakBefore w:val="0"/>
              <w:widowControl/>
              <w:snapToGrid w:val="0"/>
              <w:spacing w:before="120" w:after="100" w:line="360" w:lineRule="auto"/>
              <w:ind w:firstLine="0"/>
            </w:pPr>
            <w:r>
              <w:rPr>
                <w:rFonts w:ascii="宋体" w:hAnsi="宋体" w:eastAsia="宋体" w:cs="宋体"/>
                <w:b/>
                <w:color w:val="000000"/>
                <w:sz w:val="24"/>
              </w:rPr>
              <w:t>参考论文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[1] Sarkar A, Sastry S, Pirinen A, et al. GOMAA-Geo: GOal Modality Agnostic Active Geo-localization. arXiv:2406.01917, 2024.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[2] Mi L, Béchaz M, Chen Z, et al. GeoExplorer: Active Geo-localization with Curiosity-Driven Exploration. 项目所附论文资料，2025.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[3] Sun Y, Zhang Y, Zhu P. DynCur-Geo: Dynamic Curiosity Reward Shaping for Multimodal Active Geo-Localization. 项目所附论文资料，2026.</w:t>
            </w:r>
          </w:p>
          <w:p>
            <w:pPr>
              <w:keepNext w:val="0"/>
              <w:pageBreakBefore w:val="0"/>
              <w:widowControl/>
              <w:snapToGrid w:val="0"/>
              <w:spacing w:before="0" w:after="100" w:line="288" w:lineRule="auto"/>
            </w:pPr>
            <w:r>
              <w:rPr>
                <w:rFonts w:ascii="宋体" w:hAnsi="宋体" w:eastAsia="宋体" w:cs="宋体"/>
                <w:b w:val="0"/>
                <w:color w:val="000000"/>
                <w:sz w:val="21"/>
              </w:rPr>
              <w:t>三篇PDF位于“论文/”；这里只说明借鉴机制，不使用不同论文协议的SR与本地结果直接相减宣称提升。</w:t>
            </w:r>
          </w:p>
        </w:tc>
      </w:tr>
    </w:tbl>
    <w:p>
      <w:pPr>
        <w:spacing w:line="20" w:lineRule="exact"/>
      </w:pPr>
    </w:p>
    <w:sectPr>
      <w:headerReference r:id="rId3" w:type="default"/>
      <w:footerReference r:id="rId4" w:type="default"/>
      <w:footerReference r:id="rId5" w:type="even"/>
      <w:headerReference w:type="first" r:id="rId10"/>
      <w:footerReference w:type="first" r:id="rId11"/>
      <w:pgSz w:w="11906" w:h="16838"/>
      <w:pgMar w:top="1440" w:right="1797" w:bottom="1440" w:left="1797" w:header="851" w:footer="992" w:gutter="0"/>
      <w:pgNumType w:start="0"/>
      <w:cols w:space="720" w:num="1"/>
      <w:titlePg/>
      <w:docGrid w:type="lines" w:linePitch="398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2B0244">
    <w:pPr>
      <w:pStyle w:val="2"/>
      <w:framePr w:wrap="around" w:vAnchor="text" w:hAnchor="margin" w:xAlign="center" w:y="1"/>
      <w:rPr>
        <w:rStyle w:val="7"/>
      </w:rPr>
    </w:pPr>
    <w:r>
      <w:rPr>
        <w:rFonts w:ascii="宋体" w:hAnsi="宋体" w:eastAsia="宋体" w:cs="宋体"/>
        <w:rStyle w:val="7"/>
      </w:rPr>
      <w:fldChar w:fldCharType="begin"/>
    </w:r>
    <w:r>
      <w:rPr>
        <w:rFonts w:ascii="宋体" w:hAnsi="宋体" w:eastAsia="宋体" w:cs="宋体"/>
        <w:rStyle w:val="7"/>
      </w:rPr>
      <w:instrText xml:space="preserve">PAGE  </w:instrText>
    </w:r>
    <w:r>
      <w:rPr>
        <w:rFonts w:ascii="宋体" w:hAnsi="宋体" w:eastAsia="宋体" w:cs="宋体"/>
        <w:rStyle w:val="7"/>
      </w:rPr>
      <w:fldChar w:fldCharType="separate"/>
    </w:r>
    <w:r>
      <w:rPr>
        <w:rFonts w:ascii="宋体" w:hAnsi="宋体" w:eastAsia="宋体" w:cs="宋体"/>
        <w:rStyle w:val="7"/>
        <w:lang/>
      </w:rPr>
      <w:t>2</w:t>
    </w:r>
    <w:r>
      <w:rPr>
        <w:rFonts w:ascii="宋体" w:hAnsi="宋体" w:eastAsia="宋体" w:cs="宋体"/>
        <w:rStyle w:val="7"/>
      </w:rPr>
      <w:fldChar w:fldCharType="end"/>
    </w:r>
  </w:p>
  <w:p w14:paraId="217A6BBE">
    <w:pPr>
      <w:pStyle w:val="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C2E7F4">
    <w:pPr>
      <w:pStyle w:val="2"/>
      <w:framePr w:wrap="around" w:vAnchor="text" w:hAnchor="margin" w:xAlign="center" w:y="1"/>
      <w:rPr>
        <w:rStyle w:val="7"/>
      </w:rPr>
    </w:pPr>
    <w:r>
      <w:rPr>
        <w:rStyle w:val="7"/>
      </w:rPr>
      <w:fldChar w:fldCharType="begin"/>
    </w:r>
    <w:r>
      <w:rPr>
        <w:rStyle w:val="7"/>
      </w:rPr>
      <w:instrText xml:space="preserve">PAGE  </w:instrText>
    </w:r>
    <w:r>
      <w:rPr>
        <w:rStyle w:val="7"/>
      </w:rPr>
      <w:fldChar w:fldCharType="end"/>
    </w:r>
  </w:p>
  <w:p w14:paraId="248E23BC">
    <w:pPr>
      <w:pStyle w:val="2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A76967">
    <w:pPr>
      <w:pStyle w:val="3"/>
    </w:pPr>
    <w:r>
      <w:rPr>
        <w:rFonts w:hint="eastAsia" w:ascii="宋体" w:hAnsi="宋体" w:eastAsia="宋体" w:cs="宋体"/>
      </w:rPr>
      <w:t>西安电子科技大学计算机科学与技术学院综合工程设计中期报告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3075DA"/>
    <w:rsid w:val="000B40C0"/>
    <w:rsid w:val="00140092"/>
    <w:rsid w:val="00214C44"/>
    <w:rsid w:val="003075DA"/>
    <w:rsid w:val="0037429B"/>
    <w:rsid w:val="00375083"/>
    <w:rsid w:val="003E6D21"/>
    <w:rsid w:val="00505131"/>
    <w:rsid w:val="00576B14"/>
    <w:rsid w:val="005D3C29"/>
    <w:rsid w:val="005F142B"/>
    <w:rsid w:val="007658A5"/>
    <w:rsid w:val="00845111"/>
    <w:rsid w:val="0084532E"/>
    <w:rsid w:val="00867092"/>
    <w:rsid w:val="00892F92"/>
    <w:rsid w:val="008A7338"/>
    <w:rsid w:val="00964734"/>
    <w:rsid w:val="009B68DD"/>
    <w:rsid w:val="00A36BA2"/>
    <w:rsid w:val="00B64371"/>
    <w:rsid w:val="00C216A4"/>
    <w:rsid w:val="00C5165F"/>
    <w:rsid w:val="00D4608F"/>
    <w:rsid w:val="00D950D7"/>
    <w:rsid w:val="00DB63CA"/>
    <w:rsid w:val="00DC4F7D"/>
    <w:rsid w:val="00E178DC"/>
    <w:rsid w:val="00F6047A"/>
    <w:rsid w:val="00F85AC2"/>
    <w:rsid w:val="6AFB36E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uiPriority w:val="0"/>
  </w:style>
  <w:style w:type="table" w:default="1" w:styleId="4">
    <w:name w:val="Normal Table"/>
    <w:semiHidden/>
    <w:uiPriority w:val="0"/>
    <w:tblPr>
      <w:tblStyle w:val="4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uiPriority w:val="0"/>
    <w:pPr>
      <w:widowControl w:val="0"/>
      <w:jc w:val="both"/>
    </w:pPr>
    <w:tblPr>
      <w:tblStyle w:val="4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page number"/>
    <w:basedOn w:val="6"/>
    <w:uiPriority w:val="0"/>
  </w:style>
  <w:style w:type="character" w:customStyle="1" w:styleId="8">
    <w:name w:val="apple-converted-space"/>
    <w:basedOn w:val="6"/>
    <w:uiPriority w:val="0"/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Users\DFWJ\AppData\Local\Kingsoft\WPSOFF~1\1210~1.291\office6\Normal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1</Pages>
  <Words>52</Words>
  <Characters>300</Characters>
  <Lines>2</Lines>
  <Paragraphs>1</Paragraphs>
  <TotalTime>0</TotalTime>
  <ScaleCrop>false</ScaleCrop>
  <LinksUpToDate>false</LinksUpToDate>
  <CharactersWithSpaces>351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2017-09-19T15:17:00Z</dcterms:created>
  <dc:creator>陈德昕 李世显 陈龙辉</dc:creator>
  <cp:lastModifiedBy/>
  <dcterms:modified xsi:type="dcterms:W3CDTF">2026-09-29T16:39:55Z</dcterms:modified>
  <dc:title>基于主动探索的视觉地理定位方法设计与实现 中期报告</dc:title>
  <cp:revision>23</cp:revision>
  <dc:subject>综合工程设计中期检查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BB78B3386E6847FBB3483CA29EFA439F_13</vt:lpwstr>
  </property>
</Properties>
</file>