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  <w:jc w:val="center"/>
      </w:pPr>
      <w:r>
        <w:rPr>
          <w:b/>
          <w:bCs/>
          <w:sz w:val="34"/>
          <w:szCs w:val="34"/>
        </w:rPr>
        <w:t xml:space="preserve">视觉地理定位项目 · 阶段提升总结</w:t>
      </w:r>
    </w:p>
    <w:p>
      <w:pPr>
        <w:spacing w:after="110" w:line="300"/>
        <w:jc w:val="center"/>
        <w:rPr>
          <w:color w:val="526674"/>
          <w:sz w:val="21"/>
          <w:szCs w:val="21"/>
        </w:rPr>
      </w:pPr>
      <w:r>
        <w:rPr>
          <w:color w:val="526674"/>
          <w:sz w:val="21"/>
          <w:szCs w:val="21"/>
        </w:rPr>
        <w:t xml:space="preserve">阶段快照：2026-09-30  ｜  开发验证通过，正式S2待复验</w:t>
      </w:r>
    </w:p>
    <w:p>
      <w:pPr>
        <w:pStyle w:val="Heading1"/>
        <w:spacing w:after="140" w:before="120"/>
      </w:pPr>
      <w:r>
        <w:t xml:space="preserve">1  本阶段的实质进展</w:t>
      </w:r>
    </w:p>
    <w:p>
      <w:pPr>
        <w:spacing w:after="110" w:line="300"/>
      </w:pPr>
      <w:r>
        <w:t xml:space="preserve">在相同140项已知开发任务、28张源图、三个配对训练种子下，边缘连续性候选把导航SR从72.62%提高到88.57%，增加15.95个百分点；SG由0.864降到0.348。三个种子均提升，同题置零对照复现旧结果，完整复核通过。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000"/>
        <w:gridCol w:w="1400"/>
        <w:gridCol w:w="1900"/>
      </w:tblGrid>
      <w:tr>
        <w:trPr>
          <w:cantSplit/>
          <w:tblHeader/>
        </w:trPr>
        <w:tc>
          <w:tcPr>
            <w:tcW w:type="dxa" w:w="370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E9EF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同题条件</w:t>
            </w:r>
          </w:p>
        </w:tc>
        <w:tc>
          <w:tcPr>
            <w:tcW w:type="dxa" w:w="200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E9EF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成功 / 轨迹</w:t>
            </w:r>
          </w:p>
        </w:tc>
        <w:tc>
          <w:tcPr>
            <w:tcW w:type="dxa" w:w="140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E9EF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SR</w:t>
            </w:r>
          </w:p>
        </w:tc>
        <w:tc>
          <w:tcPr>
            <w:tcW w:type="dxa" w:w="190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E9EF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SG（格）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冻结探索/置零对照</w:t>
            </w:r>
          </w:p>
        </w:tc>
        <w:tc>
          <w:tcPr>
            <w:tcW w:type="dxa" w:w="200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305 / 420</w:t>
            </w:r>
          </w:p>
        </w:tc>
        <w:tc>
          <w:tcPr>
            <w:tcW w:type="dxa" w:w="140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72.62%</w:t>
            </w:r>
          </w:p>
        </w:tc>
        <w:tc>
          <w:tcPr>
            <w:tcW w:type="dxa" w:w="190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0.864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边缘线索·真实目标</w:t>
            </w:r>
          </w:p>
        </w:tc>
        <w:tc>
          <w:tcPr>
            <w:tcW w:type="dxa" w:w="200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372 / 420</w:t>
            </w:r>
          </w:p>
        </w:tc>
        <w:tc>
          <w:tcPr>
            <w:tcW w:type="dxa" w:w="140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88.57%</w:t>
            </w:r>
          </w:p>
        </w:tc>
        <w:tc>
          <w:tcPr>
            <w:tcW w:type="dxa" w:w="190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0.348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边缘线索·均值目标</w:t>
            </w:r>
          </w:p>
        </w:tc>
        <w:tc>
          <w:tcPr>
            <w:tcW w:type="dxa" w:w="200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295 / 420</w:t>
            </w:r>
          </w:p>
        </w:tc>
        <w:tc>
          <w:tcPr>
            <w:tcW w:type="dxa" w:w="140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70.24%</w:t>
            </w:r>
          </w:p>
        </w:tc>
        <w:tc>
          <w:tcPr>
            <w:tcW w:type="dxa" w:w="190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0.895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边缘线索·错误目标</w:t>
            </w:r>
          </w:p>
        </w:tc>
        <w:tc>
          <w:tcPr>
            <w:tcW w:type="dxa" w:w="200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294 / 420</w:t>
            </w:r>
          </w:p>
        </w:tc>
        <w:tc>
          <w:tcPr>
            <w:tcW w:type="dxa" w:w="140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70.00%</w:t>
            </w:r>
          </w:p>
        </w:tc>
        <w:tc>
          <w:tcPr>
            <w:tcW w:type="dxa" w:w="190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0.929</w:t>
            </w:r>
          </w:p>
        </w:tc>
      </w:tr>
    </w:tbl>
    <w:p>
      <w:pPr>
        <w:spacing w:after="70" w:before="80"/>
        <w:jc w:val="center"/>
      </w:pPr>
      <w:r>
        <w:drawing>
          <wp:inline distT="0" distB="0" distL="0" distR="0">
            <wp:extent cx="5619750" cy="2809875"/>
            <wp:effectExtent t="0" r="0" b="0" l="0"/>
            <wp:docPr id="1" name="绘图/数据结果图/01_边缘线索主结果.png" descr="从本项目既有实验来源生成的科研图" title="绘图/数据结果图/01_边缘线索主结果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240"/>
        <w:rPr>
          <w:color w:val="526674"/>
          <w:sz w:val="19"/>
          <w:szCs w:val="19"/>
        </w:rPr>
      </w:pPr>
      <w:r>
        <w:rPr>
          <w:color w:val="526674"/>
          <w:sz w:val="19"/>
          <w:szCs w:val="19"/>
        </w:rPr>
        <w:t xml:space="preserve">图1  同题目标干预与主结果。白色标记为三个训练种子。140×3=420条轨迹，不能视为420张独立源图；SG为所有正常完成轨迹的终点曼哈顿距离均值，成功记0。</w:t>
      </w:r>
    </w:p>
    <w:p>
      <w:pPr>
        <w:spacing w:after="110" w:line="300"/>
      </w:pPr>
      <w:r>
        <w:t xml:space="preserve">当前默认仍为Small256 NoTarget：原val100平均SR73%、SG0.800。最新88.57%属于另一份开发任务集，正确提升比较是88.57%−72.62%，不能减去73%。本次收尾没有运行正式复验、修改默认或新增实验。</w:t>
      </w:r>
    </w:p>
    <w:p>
      <w:pPr>
        <w:pStyle w:val="Heading1"/>
        <w:pageBreakBefore/>
        <w:spacing w:after="140" w:before="120"/>
      </w:pPr>
      <w:r>
        <w:t xml:space="preserve">2  从探索策略到可靠目标线索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50"/>
        <w:gridCol w:w="2850"/>
      </w:tblGrid>
      <w:tr>
        <w:trPr>
          <w:cantSplit/>
          <w:tblHeader/>
        </w:trPr>
        <w:tc>
          <w:tcPr>
            <w:tcW w:type="dxa" w:w="180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E9EF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步骤</w:t>
            </w:r>
          </w:p>
        </w:tc>
        <w:tc>
          <w:tcPr>
            <w:tcW w:type="dxa" w:w="435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E9EF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已观察到的结果</w:t>
            </w:r>
          </w:p>
        </w:tc>
        <w:tc>
          <w:tcPr>
            <w:tcW w:type="dxa" w:w="285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E9EF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形成的判断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环境与评测基础</w:t>
            </w:r>
          </w:p>
        </w:tc>
        <w:tc>
          <w:tcPr>
            <w:tcW w:type="dxa" w:w="435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修复连接、协议、日志与重放；云端同策略Gemma45%、DeepSeek非思考20%、规则50%（val20）</w:t>
            </w:r>
          </w:p>
        </w:tc>
        <w:tc>
          <w:tcPr>
            <w:tcW w:type="dxa" w:w="285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工程完成不等于任务成功；模型服务更大不保证SR更高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PBRS与动作筛选</w:t>
            </w:r>
          </w:p>
        </w:tc>
        <w:tc>
          <w:tcPr>
            <w:tcW w:type="dxa" w:w="435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历史val100：PBRS44.33% → 筛选66%；目标遮蔽65.67%</w:t>
            </w:r>
          </w:p>
        </w:tc>
        <w:tc>
          <w:tcPr>
            <w:tcW w:type="dxa" w:w="285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保留动作筛选，继续检查目标贡献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模型与训练方式</w:t>
            </w:r>
          </w:p>
        </w:tc>
        <w:tc>
          <w:tcPr>
            <w:tcW w:type="dxa" w:w="435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扩大GRU未提升；完整导航训练下局部匹配形成观察候选；val100默认无目标73%</w:t>
            </w:r>
          </w:p>
        </w:tc>
        <w:tc>
          <w:tcPr>
            <w:tcW w:type="dxa" w:w="285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完整导航训练和强探索基线重要；不能仅靠扩大参数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可信邻接、邻接/方向解耦</w:t>
            </w:r>
          </w:p>
        </w:tc>
        <w:tc>
          <w:tcPr>
            <w:tcW w:type="dxa" w:w="435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同题开发集两个头均无合格阈值，全部弃权，SR均72.62%</w:t>
            </w:r>
          </w:p>
        </w:tc>
        <w:tc>
          <w:tcPr>
            <w:tcW w:type="dxa" w:w="285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保留可信要求；条件方向信号尚不足以介入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边缘连续性线索</w:t>
            </w:r>
          </w:p>
        </w:tc>
        <w:tc>
          <w:tcPr>
            <w:tcW w:type="dxa" w:w="435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开发SR88.57%；C4/C5：44.64% → 74.40%；三个种子均提升</w:t>
            </w:r>
          </w:p>
        </w:tc>
        <w:tc>
          <w:tcPr>
            <w:tcW w:type="dxa" w:w="2850"/>
            <w:tcBorders>
              <w:top w:val="single" w:color="CBD5DF" w:sz="4"/>
              <w:left w:val="single" w:color="CBD5DF" w:sz="4"/>
              <w:bottom w:val="single" w:color="CBD5DF" w:sz="4"/>
              <w:right w:val="single" w:color="CBD5D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形成可靠邻接线索，转为固定配置复验候选</w:t>
            </w:r>
          </w:p>
        </w:tc>
      </w:tr>
    </w:tbl>
    <w:p>
      <w:pPr>
        <w:spacing w:after="110" w:line="300"/>
      </w:pPr>
      <w:r>
        <w:t xml:space="preserve">上述过程保留正结果、负结果和接口中断记录。每一步的实验列表、训练预算与信息边界以原预登记为准；不同任务集的成绩分开呈现，不把全过程写成一条受控累积提升曲线。</w:t>
      </w:r>
    </w:p>
    <w:p>
      <w:pPr>
        <w:spacing w:after="70" w:before="80"/>
        <w:jc w:val="center"/>
      </w:pPr>
      <w:r>
        <w:drawing>
          <wp:inline distT="0" distB="0" distL="0" distR="0">
            <wp:extent cx="5715000" cy="3000375"/>
            <wp:effectExtent t="0" r="0" b="0" l="0"/>
            <wp:docPr id="1" name="绘图/数据结果图/05_同任务集历史方案.png" descr="从本项目既有实验来源生成的科研图" title="绘图/数据结果图/05_同任务集历史方案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/>
        <w:rPr>
          <w:color w:val="526674"/>
          <w:sz w:val="19"/>
          <w:szCs w:val="19"/>
        </w:rPr>
      </w:pPr>
      <w:r>
        <w:rPr>
          <w:color w:val="526674"/>
          <w:sz w:val="19"/>
          <w:szCs w:val="19"/>
        </w:rPr>
        <w:t xml:space="preserve">图2  原val100与已知开发140分别展示；白色标记为训练种子。开发面板的不同批次训练设定有差异，仅原配对实验支持对应因素效应。</w:t>
      </w:r>
    </w:p>
    <w:p>
      <w:pPr>
        <w:pStyle w:val="Heading1"/>
        <w:pageBreakBefore/>
        <w:spacing w:after="140" w:before="120"/>
      </w:pPr>
      <w:r>
        <w:t xml:space="preserve">3  当前Agent与新增机制</w:t>
      </w:r>
    </w:p>
    <w:p>
      <w:pPr>
        <w:spacing w:after="110" w:line="300"/>
      </w:pPr>
      <w:r>
        <w:t xml:space="preserve">当前实现是一个导航智能体：探索器、视觉线索头和行动门控共同形成一个策略。本地分支包含训练；原始“零训练多智能体”的研究目标尚未实现。GUI不是评测必需，本阶段未建设交互轨迹回放界面。</w:t>
      </w:r>
    </w:p>
    <w:p>
      <w:pPr>
        <w:spacing w:after="70" w:before="80"/>
        <w:jc w:val="center"/>
      </w:pPr>
      <w:r>
        <w:drawing>
          <wp:inline distT="0" distB="0" distL="0" distR="0">
            <wp:extent cx="5715000" cy="3695700"/>
            <wp:effectExtent t="0" r="0" b="0" l="0"/>
            <wp:docPr id="1" name="绘图/Agent架构图/01_边缘线索Agent架构.png" descr="从本项目既有实验来源生成的科研图" title="绘图/Agent架构图/01_边缘线索Agent架构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240"/>
        <w:rPr>
          <w:color w:val="526674"/>
          <w:sz w:val="19"/>
          <w:szCs w:val="19"/>
        </w:rPr>
      </w:pPr>
      <w:r>
        <w:rPr>
          <w:color w:val="526674"/>
          <w:sz w:val="19"/>
          <w:szCs w:val="19"/>
        </w:rPr>
        <w:t xml:space="preserve">图3  候选Agent的离线训练、在线闭环和评测边界。虚线为冻结配置或评测记录流；真实目标坐标与距离只在评测侧使用。</w:t>
      </w:r>
    </w:p>
    <w:p>
      <w:pPr>
        <w:spacing w:after="110" w:line="300"/>
      </w:pPr>
      <w:r>
        <w:t xml:space="preserve">新增20维边缘关系特征：四个方向，各含三个宽度的RGB沿边误差、沿边梯度误差和去均值相关性。探索器、Sat2Cap编码器和原1041维输入保持固定；ZeroEdge/Edge均136837参数，同初始化、同16轮训练预算，新2560参数投影从0初始化。</w:t>
      </w:r>
    </w:p>
    <w:p>
      <w:pPr>
        <w:spacing w:after="110" w:line="300"/>
      </w:pPr>
      <w:r>
        <w:t xml:space="preserve">邻接概率与条件方向概率相乘形成联合置信度；仅当原始五类最高方向≥0.50、动作合法且落点未访问时接受线索，其余情况沿用探索。校准阈值先冻结再验证，不读取未知邻格图像。</w:t>
      </w:r>
    </w:p>
    <w:p>
      <w:pPr>
        <w:pStyle w:val="Heading1"/>
        <w:pageBreakBefore/>
        <w:spacing w:after="140" w:before="120"/>
      </w:pPr>
      <w:r>
        <w:t xml:space="preserve">4  证据、边界与接续</w:t>
      </w:r>
    </w:p>
    <w:p>
      <w:pPr>
        <w:spacing w:after="110" w:line="300"/>
      </w:pPr>
      <w:r>
        <w:t xml:space="preserve">SR增益的28源图成组95%区间为[+11.43,+20.71]个百分点；真实目标相对均值/错误目标分别提高18.33/18.57点。三个头在开发留出图的接受线索一步命中精度为95.11%、94.65%、95.81%；该组件精度不是导航SR。</w:t>
      </w:r>
    </w:p>
    <w:p>
      <w:pPr>
        <w:spacing w:after="110" w:line="300"/>
      </w:pPr>
      <w:r>
        <w:t xml:space="preserve">188项测试通过；另行实现的复核检查3425个实际图块profile、694800条配对预测、3360条神经导航及27361个动作、280条规则轨迹，并检查数据隔离、校准、配对初始化、源图区间与哈希。实现及复核由同一执行代理完成，不声称不同人员独立审查。</w:t>
      </w:r>
    </w:p>
    <w:p>
      <w:pPr>
        <w:spacing w:after="110" w:line="300"/>
      </w:pPr>
      <w:r>
        <w:t xml:space="preserve">28张图经过多轮开发，不是新独立确认。边缘机制目前适用于同源、连续、方向一致的300×300切图；旋转、异时、非连续裁切、跨视角或跨数据集尚未验证。仅在上述开发范围内主张目标线索有效，不声称通用语义地理理解。</w:t>
      </w:r>
    </w:p>
    <w:p>
      <w:pPr>
        <w:pStyle w:val="Heading1"/>
        <w:spacing w:after="140" w:before="120"/>
      </w:pPr>
      <w:r>
        <w:t xml:space="preserve">收尾文件怎样找到</w:t>
      </w:r>
    </w:p>
    <w:p>
      <w:pPr>
        <w:spacing w:after="80" w:line="260"/>
      </w:pPr>
      <w:hyperlink w:history="1" r:id="rIdjf9ktfttxm6i3c6y6p7le">
        <w:r>
          <w:rPr>
            <w:rStyle w:val="Hyperlink"/>
            <w:sz w:val="21"/>
            <w:szCs w:val="21"/>
          </w:rPr>
          <w:t xml:space="preserve">项目总览与当前阶段</w:t>
        </w:r>
      </w:hyperlink>
    </w:p>
    <w:p>
      <w:pPr>
        <w:spacing w:after="80" w:line="260"/>
      </w:pPr>
      <w:hyperlink w:history="1" r:id="rIdtyk5xzx8gny35usnajwgd">
        <w:r>
          <w:rPr>
            <w:rStyle w:val="Hyperlink"/>
            <w:sz w:val="21"/>
            <w:szCs w:val="21"/>
          </w:rPr>
          <w:t xml:space="preserve">完整实验索引：包含负结果与未完成评测</w:t>
        </w:r>
      </w:hyperlink>
    </w:p>
    <w:p>
      <w:pPr>
        <w:spacing w:after="80" w:line="260"/>
      </w:pPr>
      <w:hyperlink w:history="1" r:id="rIdw93nrs4hfmqtsoiqjsqpb">
        <w:r>
          <w:rPr>
            <w:rStyle w:val="Hyperlink"/>
            <w:sz w:val="21"/>
            <w:szCs w:val="21"/>
          </w:rPr>
          <w:t xml:space="preserve">集中小文件、原路径与SHA-256</w:t>
        </w:r>
      </w:hyperlink>
    </w:p>
    <w:p>
      <w:pPr>
        <w:spacing w:after="80" w:line="260"/>
      </w:pPr>
      <w:hyperlink w:history="1" r:id="rId5yplukuooy5cy76l10qps">
        <w:r>
          <w:rPr>
            <w:rStyle w:val="Hyperlink"/>
            <w:sz w:val="21"/>
            <w:szCs w:val="21"/>
          </w:rPr>
          <w:t xml:space="preserve">科研图、矢量格式、图注与drawio源图</w:t>
        </w:r>
      </w:hyperlink>
    </w:p>
    <w:p>
      <w:pPr>
        <w:spacing w:after="80" w:line="260"/>
      </w:pPr>
      <w:hyperlink w:history="1" r:id="rIdzc0gqnz5xno-3leooifpd">
        <w:r>
          <w:rPr>
            <w:rStyle w:val="Hyperlink"/>
            <w:sz w:val="21"/>
            <w:szCs w:val="21"/>
          </w:rPr>
          <w:t xml:space="preserve">最新验收结论与候选来源</w:t>
        </w:r>
      </w:hyperlink>
    </w:p>
    <w:p>
      <w:pPr>
        <w:pStyle w:val="Heading1"/>
        <w:spacing w:after="140" w:before="120"/>
      </w:pPr>
      <w:r>
        <w:t xml:space="preserve">下一阶段的明确入口</w:t>
      </w:r>
    </w:p>
    <w:p>
      <w:pPr>
        <w:spacing w:after="110" w:line="300"/>
      </w:pPr>
      <w:r>
        <w:t xml:space="preserve">冻结三个Edge头、三个探索器、四份均值及0.50阈值，进行正式val100×3同题复验；保留默认/置零/规则基线及真实、均值、错误目标干预，核验距离档、种子、源图区间和完整轨迹。达到既定要求后判定S2并决定默认更新，随后S3再做独立源图确认。</w:t>
      </w:r>
    </w:p>
    <w:p>
      <w:pPr>
        <w:spacing w:after="110" w:line="300"/>
      </w:pPr>
      <w:r>
        <w:t xml:space="preserve">正式复验必须正确读取val图片和目标替换路径，不能直接复用训练集专用运行器中的train硬编码分支；本次不加新因素、不重新按val调阈值。原数据、模型、实验路径和原中期报告全部保留。</w:t>
      </w:r>
    </w:p>
    <w:sectPr>
      <w:footerReference w:type="default" r:id="rId7"/>
      <w:pgSz w:w="11906" w:h="16838" w:orient="portrait"/>
      <w:pgMar w:top="1050" w:right="1253" w:bottom="1050" w:left="1253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526674"/>
        <w:sz w:val="18"/>
        <w:szCs w:val="18"/>
      </w:rPr>
      <w:t xml:space="preserve">阶段收尾快照 · 2026-09-30  /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>
      <w:pPr>
        <w:spacing w:after="11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140"/>
      <w:outlineLvl w:val="0"/>
    </w:pPr>
    <w:rPr>
      <w:rFonts w:ascii="黑体" w:cs="黑体" w:eastAsia="黑体" w:hAnsi="黑体"/>
      <w:b/>
      <w:bCs/>
      <w:color w:val="172D3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f9ktfttxm6i3c6y6p7le" Type="http://schemas.openxmlformats.org/officeDocument/2006/relationships/hyperlink" Target="file:///D:/&#26700;&#38754;/XDUCS-courses/&#22823;&#22235;/&#22823;&#25968;&#25454;&#24037;&#31243;/&#36873;&#39064;&#25253;&#21578;&#30456;&#20851;/&#38454;&#27573;&#25910;&#23614;_v1/README.md" TargetMode="External"/><Relationship Id="rIdtyk5xzx8gny35usnajwgd" Type="http://schemas.openxmlformats.org/officeDocument/2006/relationships/hyperlink" Target="file:///D:/&#26700;&#38754;/XDUCS-courses/&#22823;&#22235;/&#22823;&#25968;&#25454;&#24037;&#31243;/&#36873;&#39064;&#25253;&#21578;&#30456;&#20851;/&#38454;&#27573;&#25910;&#23614;_v1/&#23454;&#39564;&#32034;&#24341;.md" TargetMode="External"/><Relationship Id="rIdw93nrs4hfmqtsoiqjsqpb" Type="http://schemas.openxmlformats.org/officeDocument/2006/relationships/hyperlink" Target="file:///D:/&#26700;&#38754;/XDUCS-courses/&#22823;&#22235;/&#22823;&#25968;&#25454;&#24037;&#31243;/&#36873;&#39064;&#25253;&#21578;&#30456;&#20851;/&#38454;&#27573;&#25910;&#23614;_v1/&#25972;&#29702;&#28165;&#21333;.json" TargetMode="External"/><Relationship Id="rId5yplukuooy5cy76l10qps" Type="http://schemas.openxmlformats.org/officeDocument/2006/relationships/hyperlink" Target="file:///D:/&#26700;&#38754;/XDUCS-courses/&#22823;&#22235;/&#22823;&#25968;&#25454;&#24037;&#31243;/&#32472;&#22270;/README.md" TargetMode="External"/><Relationship Id="rIdzc0gqnz5xno-3leooifpd" Type="http://schemas.openxmlformats.org/officeDocument/2006/relationships/hyperlink" Target="file:///D:/&#26700;&#38754;/XDUCS-courses/&#22823;&#22235;/&#22823;&#25968;&#25454;&#24037;&#31243;/DATA/processed_data/Masa/&#35757;&#32451;&#32467;&#26524;/&#36793;&#32536;&#36830;&#32493;&#24615;&#21487;&#20449;&#32447;&#32034;&#23545;&#29031;_v1/&#39564;&#25910;&#32467;&#35770;.json" TargetMode="External"/><Relationship Id="rId8" Type="http://schemas.openxmlformats.org/officeDocument/2006/relationships/image" Target="media/86b301cf72f159e66967670012454f61f114a434.png"/><Relationship Id="rId9" Type="http://schemas.openxmlformats.org/officeDocument/2006/relationships/image" Target="media/717ebe0b4c4b890fdab39b7a0790caa4ce2fa776.png"/><Relationship Id="rId10" Type="http://schemas.openxmlformats.org/officeDocument/2006/relationships/image" Target="media/baeb91a061c04de3d6d8251ea68d39419f00312f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视觉地理定位项目阶段提升总结</dc:title>
  <dc:creator>GeoNav-Agent project</dc:creator>
  <dc:description>Verified development evidence and stage-closeout index, 2026-09-30</dc:description>
  <cp:lastModifiedBy>Un-named</cp:lastModifiedBy>
  <cp:revision>1</cp:revision>
  <dcterms:created xsi:type="dcterms:W3CDTF">2026-09-30T09:44:35.746Z</dcterms:created>
  <dcterms:modified xsi:type="dcterms:W3CDTF">2026-09-30T09:44:35.749Z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