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主动视觉地理定位阶段提升总结</w:t>
      </w:r>
    </w:p>
    <w:p>
      <w:r>
        <w:t>2026年10月2日</w:t>
      </w:r>
    </w:p>
    <w:p>
      <w:r>
        <w:t>平台与单智能体主方法已经完成正式S2/S3验收，并通过10×10密度扩展和SwissView同模态迁移。当前默认保留冻结Small256探索器与EdgeTargetCue视觉线索头；继续训练候选目标图证据通过，但独立新图SR收益不足，未替换默认。</w:t>
      </w:r>
    </w:p>
    <w:p>
      <w:pPr>
        <w:pStyle w:val="Heading1"/>
      </w:pPr>
      <w:r>
        <w:t>从工程修复到目标视觉线索</w:t>
      </w:r>
    </w:p>
    <w:p>
      <w:r>
        <w:t>先修复环境与训练实现，统一SR/SG、计划题数、逐步日志和源文件划分；随后逐项比较云端排序、记忆和治理，以及本地奖励塑形、动作筛选、目标监督和模型容量。早期val100的动作筛选均值达到66%，目标遮蔽仍为65.67%，不能据此证明有效利用目标图。</w:t>
      </w:r>
    </w:p>
    <w:p>
      <w:r>
        <w:t>完整导航训练确立NoTarget探索器后，可信邻接与方向解耦曾全部弃权；加入细边缘连续性才获得可靠的局部邻接证据。开发140题×3的真实目标SR由72.62%升到88.57%，正式S2同题真实目标为89.33%，禁用cue为73.00%。各段对应不同队列或训练设置，不能连接为一条受控累计提升曲线。</w:t>
      </w:r>
    </w:p>
    <w:p>
      <w:pPr>
        <w:pStyle w:val="Heading1"/>
      </w:pPr>
      <w:r>
        <w:t>主线已经验收的结果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1701"/>
        <w:gridCol w:w="2041"/>
      </w:tblGrid>
      <w:tr>
        <w:tc>
          <w:tcPr>
            <w:tcW w:type="dxa" w:w="1928"/>
          </w:tcPr>
          <w:p>
            <w:r>
              <w:t>验收</w:t>
            </w:r>
          </w:p>
        </w:tc>
        <w:tc>
          <w:tcPr>
            <w:tcW w:type="dxa" w:w="3515"/>
          </w:tcPr>
          <w:p>
            <w:r>
              <w:t>协议与样本</w:t>
            </w:r>
          </w:p>
        </w:tc>
        <w:tc>
          <w:tcPr>
            <w:tcW w:type="dxa" w:w="1701"/>
          </w:tcPr>
          <w:p>
            <w:r>
              <w:t>SR</w:t>
            </w:r>
          </w:p>
        </w:tc>
        <w:tc>
          <w:tcPr>
            <w:tcW w:type="dxa" w:w="2041"/>
          </w:tcPr>
          <w:p>
            <w:r>
              <w:t>SG</w:t>
            </w:r>
          </w:p>
        </w:tc>
      </w:tr>
      <w:tr>
        <w:tc>
          <w:tcPr>
            <w:tcW w:type="dxa" w:w="1928"/>
          </w:tcPr>
          <w:p>
            <w:r>
              <w:t>S2</w:t>
            </w:r>
          </w:p>
        </w:tc>
        <w:tc>
          <w:tcPr>
            <w:tcW w:type="dxa" w:w="3515"/>
          </w:tcPr>
          <w:p>
            <w:r>
              <w:t>5×5；100题×3权重</w:t>
            </w:r>
          </w:p>
        </w:tc>
        <w:tc>
          <w:tcPr>
            <w:tcW w:type="dxa" w:w="1701"/>
          </w:tcPr>
          <w:p>
            <w:r>
              <w:t>89.33%</w:t>
            </w:r>
          </w:p>
        </w:tc>
        <w:tc>
          <w:tcPr>
            <w:tcW w:type="dxa" w:w="2041"/>
          </w:tcPr>
          <w:p>
            <w:r>
              <w:t>0.320</w:t>
            </w:r>
          </w:p>
        </w:tc>
      </w:tr>
      <w:tr>
        <w:tc>
          <w:tcPr>
            <w:tcW w:type="dxa" w:w="1928"/>
          </w:tcPr>
          <w:p>
            <w:r>
              <w:t>S3</w:t>
            </w:r>
          </w:p>
        </w:tc>
        <w:tc>
          <w:tcPr>
            <w:tcW w:type="dxa" w:w="3515"/>
          </w:tcPr>
          <w:p>
            <w:r>
              <w:t>5×5；250题×3权重</w:t>
            </w:r>
          </w:p>
        </w:tc>
        <w:tc>
          <w:tcPr>
            <w:tcW w:type="dxa" w:w="1701"/>
          </w:tcPr>
          <w:p>
            <w:r>
              <w:t>86.80%</w:t>
            </w:r>
          </w:p>
        </w:tc>
        <w:tc>
          <w:tcPr>
            <w:tcW w:type="dxa" w:w="2041"/>
          </w:tcPr>
          <w:p>
            <w:r>
              <w:t>0.300</w:t>
            </w:r>
          </w:p>
        </w:tc>
      </w:tr>
      <w:tr>
        <w:tc>
          <w:tcPr>
            <w:tcW w:type="dxa" w:w="1928"/>
          </w:tcPr>
          <w:p>
            <w:r>
              <w:t>S4密度</w:t>
            </w:r>
          </w:p>
        </w:tc>
        <w:tc>
          <w:tcPr>
            <w:tcW w:type="dxa" w:w="3515"/>
          </w:tcPr>
          <w:p>
            <w:r>
              <w:t>10×10；500题×3权重</w:t>
            </w:r>
          </w:p>
        </w:tc>
        <w:tc>
          <w:tcPr>
            <w:tcW w:type="dxa" w:w="1701"/>
          </w:tcPr>
          <w:p>
            <w:r>
              <w:t>77.13%</w:t>
            </w:r>
          </w:p>
        </w:tc>
        <w:tc>
          <w:tcPr>
            <w:tcW w:type="dxa" w:w="2041"/>
          </w:tcPr>
          <w:p>
            <w:r>
              <w:t>1.201</w:t>
            </w:r>
          </w:p>
        </w:tc>
      </w:tr>
      <w:tr>
        <w:tc>
          <w:tcPr>
            <w:tcW w:type="dxa" w:w="1928"/>
          </w:tcPr>
          <w:p>
            <w:r>
              <w:t>SwissView</w:t>
            </w:r>
          </w:p>
        </w:tc>
        <w:tc>
          <w:tcPr>
            <w:tcW w:type="dxa" w:w="3515"/>
          </w:tcPr>
          <w:p>
            <w:r>
              <w:t>5×5；500题×3权重</w:t>
            </w:r>
          </w:p>
        </w:tc>
        <w:tc>
          <w:tcPr>
            <w:tcW w:type="dxa" w:w="1701"/>
          </w:tcPr>
          <w:p>
            <w:r>
              <w:t>86.80%</w:t>
            </w:r>
          </w:p>
        </w:tc>
        <w:tc>
          <w:tcPr>
            <w:tcW w:type="dxa" w:w="2041"/>
          </w:tcPr>
          <w:p>
            <w:r>
              <w:t>0.381</w:t>
            </w:r>
          </w:p>
        </w:tc>
      </w:tr>
    </w:tbl>
    <w:p>
      <w:r>
        <w:t>三权重是三份训练参数；源文件分别为4、10、20和20。10×10只提高同一原图内密度，SwissView只验证连续航拍目标的同模态迁移。</w:t>
      </w:r>
    </w:p>
    <w:p>
      <w:r>
        <w:br w:type="page"/>
      </w:r>
    </w:p>
    <w:p>
      <w:pPr>
        <w:pStyle w:val="Heading1"/>
      </w:pPr>
      <w:r>
        <w:t>最近继续训练的收益与停止原因</w:t>
      </w:r>
    </w:p>
    <w:p>
      <w:r>
        <w:t>同预算Continue5和Adapt10保持架构及视觉头不变。Continue5在已见10×10开发队列取得79.73%/SG0.823，真实目标对禁用、均值、错图分别领先20.33、27.53、22.53点，目标证据通过；Adapt10仅比Continue5增加0.27点且SG更差，协议适配未升级。</w:t>
      </w:r>
    </w:p>
    <w:p>
      <w:r>
        <w:t>固定20新SwissView源文件后，5×5原M0为86.73%/0.334，Continue5为87.40%/0.310；10×10原M0为72.07%/1.230，Continue5为72.67%/0.868。新10×10 SR只+0.60点，1/3正权重，95%差区间[−0.87,+2.27]点；恢复185与损伤176，净9/1500。SG收益真实保留，但不足以证明稳定SR优势。</w:t>
      </w:r>
    </w:p>
    <w:p>
      <w:r>
        <w:t>两批10500新记录加1500按SHA复用Full，共12000轨迹/181282动作重放通过。未增加训练或云端调用；新确认40—59号源文件已消费。三份Continue5权重保留，原默认不切换，也不在本批继续调参数追求过线。</w:t>
      </w:r>
    </w:p>
    <w:p>
      <w:pPr>
        <w:pStyle w:val="Heading1"/>
      </w:pPr>
      <w:r>
        <w:t>方法边界与后续</w:t>
      </w:r>
    </w:p>
    <w:p>
      <w:r>
        <w:t>当前为训练过的单导航智能体，探索器和视觉头属于内部模块。云端反思/双角色同预算小验证未支持扩大协作。旋转、可靠性校准、账本保护、邻域覆盖等候选均按原批次保留，不删去负结果。</w:t>
      </w:r>
    </w:p>
    <w:p>
      <w:r>
        <w:t>已完成主线可支撑课程阶段报告；任意角度、真实异时、跨视角、实际覆盖扩大和无人机实飞仍待验证。后续先完善材料，再依据成功损伤与预算机会选择一个新因素，使用新源文件确认；GUI可用于演示，不是评测前置。</w:t>
      </w:r>
    </w:p>
    <w:p>
      <w:r>
        <w:t>材料入口为根目录README、项目导航/实验索引.md和绘图/README.md。旧阶段总结v1保持原样，反映2026年9月30日当时状态；v2为当前阅读版。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