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43E9063">
      <w:pPr>
        <w:rPr>
          <w:rFonts w:eastAsia="黑体"/>
          <w:b/>
          <w:color w:val="000000"/>
          <w:sz w:val="44"/>
          <w:szCs w:val="44"/>
        </w:rPr>
      </w:pPr>
      <w:bookmarkStart w:id="0" w:name="_GoBack"/>
      <w:bookmarkEnd w:id="0"/>
      <w:r>
        <w:rPr>
          <w:rFonts w:ascii="宋体" w:hAnsi="宋体" w:eastAsia="宋体" w:cs="宋体"/>
          <w:sz w:val="20"/>
          <w:lang/>
        </w:rPr>
        <w:pict>
          <v:line id="_x0000_s1026" o:spid="_x0000_s1026" o:spt="20" style="position:absolute;left:0pt;margin-left:0pt;margin-top:15.6pt;height:0pt;width:0.05pt;z-index:251659264;mso-width-relative:page;mso-height-relative:page;" coordsize="21600,21600">
            <v:path arrowok="t"/>
            <v:fill focussize="0,0"/>
            <v:stroke/>
            <v:imagedata o:title=""/>
            <o:lock v:ext="edit"/>
          </v:line>
        </w:pict>
      </w:r>
    </w:p>
    <w:p w14:paraId="2D106B59">
      <w:pPr>
        <w:jc w:val="center"/>
        <w:rPr>
          <w:rFonts w:eastAsia="黑体"/>
          <w:b/>
          <w:color w:val="000000"/>
          <w:sz w:val="44"/>
          <w:szCs w:val="44"/>
        </w:rPr>
      </w:pPr>
      <w:r>
        <w:rPr>
          <w:rFonts w:eastAsia="宋体" w:ascii="宋体" w:hAnsi="宋体" w:cs="宋体"/>
          <w:b/>
          <w:color w:val="000000"/>
          <w:sz w:val="44"/>
          <w:szCs w:val="44"/>
          <w:lang/>
        </w:rPr>
        <w:pict>
          <v:shape id="_x0000_i1025" o:spt="75" alt="西电科大背景透明LOGO-标准" type="#_x0000_t75" style="height:59.3pt;width:317.25pt;" filled="f" stroked="f" coordsize="21600,21600">
            <v:path/>
            <v:fill on="f" focussize="0,0"/>
            <v:stroke on="f"/>
            <v:imagedata r:id="rId7" grayscale="f" bilevel="f" o:title="西电科大背景透明LOGO-标准"/>
            <o:lock v:ext="edit" aspectratio="t"/>
            <w10:wrap type="none"/>
            <w10:anchorlock/>
          </v:shape>
        </w:pict>
      </w:r>
    </w:p>
    <w:p w14:paraId="3DD4E0F8">
      <w:pPr>
        <w:jc w:val="center"/>
        <w:rPr>
          <w:rFonts w:eastAsia="黑体"/>
          <w:b/>
          <w:color w:val="000000"/>
          <w:sz w:val="44"/>
          <w:szCs w:val="44"/>
        </w:rPr>
      </w:pPr>
      <w:r>
        <w:rPr>
          <w:rFonts w:hint="eastAsia" w:eastAsia="宋体" w:ascii="宋体" w:hAnsi="宋体" w:cs="宋体"/>
          <w:b/>
          <w:color w:val="000000"/>
          <w:sz w:val="44"/>
          <w:szCs w:val="44"/>
        </w:rPr>
        <w:t>计算机科学与技术学院</w:t>
      </w:r>
    </w:p>
    <w:p w14:paraId="746C2191">
      <w:pPr>
        <w:jc w:val="center"/>
        <w:rPr>
          <w:rFonts w:eastAsia="黑体"/>
          <w:b/>
          <w:color w:val="000000"/>
          <w:sz w:val="44"/>
          <w:szCs w:val="44"/>
        </w:rPr>
      </w:pPr>
    </w:p>
    <w:p w14:paraId="01B44F4B">
      <w:pPr>
        <w:jc w:val="center"/>
        <w:rPr>
          <w:rFonts w:hint="eastAsia" w:eastAsia="黑体"/>
          <w:b/>
          <w:color w:val="000000"/>
          <w:sz w:val="44"/>
          <w:szCs w:val="44"/>
        </w:rPr>
      </w:pPr>
    </w:p>
    <w:p w14:paraId="28A22AC0">
      <w:pPr>
        <w:spacing w:line="900" w:lineRule="exact"/>
        <w:jc w:val="center"/>
        <w:rPr>
          <w:rFonts w:eastAsia="黑体"/>
          <w:b/>
          <w:sz w:val="44"/>
          <w:szCs w:val="44"/>
        </w:rPr>
      </w:pPr>
      <w:r>
        <w:rPr>
          <w:rFonts w:hint="eastAsia" w:eastAsia="宋体" w:ascii="宋体" w:hAnsi="宋体" w:cs="宋体"/>
          <w:b/>
          <w:sz w:val="44"/>
          <w:szCs w:val="44"/>
        </w:rPr>
        <w:t>“大数据智能方向”</w:t>
      </w:r>
      <w:r>
        <w:rPr>
          <w:rFonts w:hint="eastAsia" w:eastAsia="宋体" w:ascii="宋体" w:hAnsi="宋体" w:cs="宋体"/>
          <w:b/>
          <w:color w:val="000000"/>
          <w:sz w:val="44"/>
          <w:szCs w:val="44"/>
        </w:rPr>
        <w:t>综合工程设计中期报告</w:t>
      </w:r>
    </w:p>
    <w:p w14:paraId="43431C0A">
      <w:pPr>
        <w:spacing w:line="900" w:lineRule="exact"/>
        <w:ind w:firstLine="1200" w:firstLineChars="400"/>
        <w:rPr>
          <w:rFonts w:eastAsia="仿宋"/>
          <w:color w:val="000000"/>
          <w:sz w:val="30"/>
          <w:szCs w:val="30"/>
        </w:rPr>
      </w:pPr>
    </w:p>
    <w:p w14:paraId="5575BE5D">
      <w:pPr>
        <w:spacing w:line="900" w:lineRule="exact"/>
        <w:ind w:firstLine="1200" w:firstLineChars="400"/>
        <w:rPr>
          <w:rFonts w:eastAsia="仿宋"/>
          <w:color w:val="000000"/>
          <w:sz w:val="30"/>
          <w:szCs w:val="30"/>
        </w:rPr>
      </w:pPr>
    </w:p>
    <w:p w14:paraId="23327DF7">
      <w:pPr>
        <w:spacing w:line="900" w:lineRule="exact"/>
        <w:ind w:firstLine="1200" w:firstLineChars="400"/>
        <w:rPr>
          <w:rFonts w:eastAsia="仿宋"/>
          <w:color w:val="000000"/>
          <w:sz w:val="30"/>
          <w:szCs w:val="30"/>
        </w:rPr>
      </w:pPr>
    </w:p>
    <w:p w14:paraId="0DAEA66A">
      <w:pPr>
        <w:spacing w:line="900" w:lineRule="exact"/>
        <w:ind w:firstLine="1200" w:firstLineChars="400"/>
        <w:rPr>
          <w:rFonts w:hint="eastAsia" w:eastAsia="仿宋"/>
          <w:color w:val="000000"/>
          <w:sz w:val="30"/>
          <w:szCs w:val="30"/>
        </w:rPr>
      </w:pPr>
    </w:p>
    <w:p w14:paraId="3E51819B">
      <w:pPr>
        <w:spacing w:line="900" w:lineRule="exact"/>
        <w:ind w:firstLine="0"/>
        <w:rPr>
          <w:rFonts w:eastAsia="仿宋"/>
          <w:b/>
          <w:color w:val="000000"/>
          <w:sz w:val="30"/>
          <w:szCs w:val="30"/>
        </w:rPr>
      </w:pPr>
      <w:r>
        <w:rPr>
          <w:rFonts w:ascii="宋体" w:hAnsi="宋体" w:eastAsia="宋体" w:cs="宋体"/>
          <w:b w:val="0"/>
          <w:color w:val="000000"/>
          <w:sz w:val="28"/>
        </w:rPr>
        <w:t>题    目：基于主动探索的视觉地理定位方法设计与实现</w:t>
      </w:r>
    </w:p>
    <w:p w14:paraId="60CF9142">
      <w:pPr>
        <w:spacing w:line="900" w:lineRule="exact"/>
        <w:ind w:firstLine="1205" w:firstLineChars="400"/>
        <w:rPr>
          <w:rFonts w:eastAsia="仿宋"/>
          <w:b/>
          <w:color w:val="000000"/>
          <w:sz w:val="30"/>
          <w:szCs w:val="30"/>
          <w:u w:val="single"/>
        </w:rPr>
      </w:pPr>
      <w:r>
        <w:rPr>
          <w:rFonts w:ascii="宋体" w:hAnsi="宋体" w:eastAsia="宋体" w:cs="宋体"/>
          <w:b w:val="0"/>
          <w:color w:val="000000"/>
          <w:sz w:val="30"/>
        </w:rPr>
        <w:t>小组人员：【待填写】</w:t>
      </w:r>
    </w:p>
    <w:p w14:paraId="586700AC">
      <w:pPr>
        <w:spacing w:line="900" w:lineRule="exact"/>
        <w:ind w:firstLine="1205" w:firstLineChars="400"/>
        <w:rPr>
          <w:rFonts w:eastAsia="仿宋"/>
          <w:b/>
          <w:color w:val="000000"/>
          <w:sz w:val="30"/>
          <w:szCs w:val="30"/>
          <w:u w:val="single"/>
        </w:rPr>
      </w:pPr>
      <w:r>
        <w:rPr>
          <w:rFonts w:ascii="宋体" w:hAnsi="宋体" w:eastAsia="宋体" w:cs="宋体"/>
          <w:b w:val="0"/>
          <w:color w:val="000000"/>
          <w:sz w:val="30"/>
        </w:rPr>
        <w:t>指导老师：【待填写】</w:t>
      </w:r>
    </w:p>
    <w:p w14:paraId="5127BD2E">
      <w:pPr>
        <w:spacing w:line="900" w:lineRule="exact"/>
        <w:ind w:firstLine="1205" w:firstLineChars="400"/>
        <w:rPr>
          <w:rFonts w:eastAsia="仿宋"/>
          <w:b/>
          <w:color w:val="000000"/>
          <w:sz w:val="30"/>
          <w:szCs w:val="30"/>
        </w:rPr>
      </w:pPr>
      <w:r>
        <w:rPr>
          <w:rFonts w:ascii="宋体" w:hAnsi="宋体" w:eastAsia="宋体" w:cs="宋体"/>
          <w:b w:val="0"/>
          <w:color w:val="000000"/>
          <w:sz w:val="30"/>
        </w:rPr>
        <w:t>填写时间：2026 年 9 月 30 日</w:t>
      </w:r>
    </w:p>
    <w:p w14:paraId="2DFD30EC">
      <w:pPr>
        <w:ind w:firstLine="1807" w:firstLineChars="600"/>
        <w:rPr>
          <w:rFonts w:eastAsia="仿宋"/>
          <w:b/>
          <w:color w:val="000000"/>
          <w:sz w:val="30"/>
          <w:szCs w:val="30"/>
          <w:u w:val="single"/>
        </w:rPr>
      </w:pPr>
    </w:p>
    <w:p w14:paraId="535D1639">
      <w:pPr>
        <w:jc w:val="center"/>
        <w:rPr>
          <w:rFonts w:eastAsia="仿宋"/>
          <w:b/>
          <w:color w:val="000000"/>
          <w:sz w:val="30"/>
          <w:szCs w:val="30"/>
        </w:rPr>
      </w:pPr>
    </w:p>
    <w:p w14:paraId="62DFAE3A">
      <w:pPr>
        <w:jc w:val="center"/>
        <w:rPr>
          <w:rFonts w:eastAsia="仿宋"/>
          <w:b/>
          <w:color w:val="000000"/>
          <w:sz w:val="30"/>
          <w:szCs w:val="30"/>
        </w:rPr>
      </w:pPr>
    </w:p>
    <w:p w14:paraId="175A4828">
      <w:pPr>
        <w:rPr>
          <w:rFonts w:eastAsia="仿宋"/>
          <w:b/>
          <w:color w:val="000000"/>
          <w:sz w:val="30"/>
          <w:szCs w:val="30"/>
        </w:rPr>
      </w:pP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5F3E8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435" w:hRule="atLeast"/>
        </w:trPr>
        <w:tc>
          <w:tcPr>
            <w:tcW w:w="2518" w:type="dxa"/>
            <w:gridSpan w:val="2"/>
            <w:shd w:val="clear" w:color="auto" w:fill="auto"/>
            <w:noWrap w:val="0"/>
            <w:vAlign w:val="center"/>
          </w:tcPr>
          <w:p w14:paraId="664AD129">
            <w:pPr>
              <w:jc w:val="center"/>
              <w:rPr>
                <w:sz w:val="24"/>
              </w:rPr>
            </w:pPr>
            <w:r>
              <w:rPr>
                <w:rFonts w:hint="eastAsia" w:ascii="宋体" w:hAnsi="宋体" w:eastAsia="宋体" w:cs="宋体"/>
              </w:rPr>
              <w:t>综合</w:t>
            </w:r>
            <w:r>
              <w:rPr>
                <w:rFonts w:ascii="宋体" w:hAnsi="宋体" w:eastAsia="宋体" w:cs="宋体"/>
              </w:rPr>
              <w:t>工程</w:t>
            </w:r>
            <w:r>
              <w:rPr>
                <w:rFonts w:hint="eastAsia" w:ascii="宋体" w:hAnsi="宋体" w:eastAsia="宋体" w:cs="宋体"/>
              </w:rPr>
              <w:t>设计题目</w:t>
            </w:r>
          </w:p>
        </w:tc>
        <w:tc>
          <w:tcPr>
            <w:tcW w:w="6003" w:type="dxa"/>
            <w:gridSpan w:val="3"/>
            <w:shd w:val="clear" w:color="auto" w:fill="auto"/>
            <w:noWrap w:val="0"/>
            <w:vAlign w:val="top"/>
          </w:tcPr>
          <w:p>
            <w:pPr>
              <w:spacing w:line="276" w:lineRule="auto"/>
              <w:jc w:val="center"/>
            </w:pPr>
            <w:r>
              <w:rPr>
                <w:rFonts w:ascii="宋体" w:hAnsi="宋体" w:eastAsia="宋体" w:cs="宋体"/>
                <w:b w:val="0"/>
                <w:color w:val="000000"/>
                <w:sz w:val="21"/>
              </w:rPr>
              <w:t>基于主动探索的视觉地理定位方法设计与实现</w:t>
            </w:r>
          </w:p>
        </w:tc>
      </w:tr>
      <w:tr w14:paraId="5F3C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435" w:hRule="atLeast"/>
        </w:trPr>
        <w:tc>
          <w:tcPr>
            <w:tcW w:w="1101" w:type="dxa"/>
            <w:vMerge w:val="restart"/>
            <w:shd w:val="clear" w:color="auto" w:fill="auto"/>
            <w:noWrap w:val="0"/>
            <w:textDirection w:val="tbRlV"/>
            <w:vAlign w:val="center"/>
          </w:tcPr>
          <w:p w14:paraId="09DD8F82">
            <w:pPr>
              <w:ind w:left="113" w:right="113"/>
              <w:jc w:val="center"/>
            </w:pPr>
            <w:r>
              <w:rPr>
                <w:rFonts w:hint="eastAsia" w:ascii="宋体" w:hAnsi="宋体" w:eastAsia="宋体" w:cs="宋体"/>
              </w:rPr>
              <w:t>完成人</w:t>
            </w:r>
            <w:r>
              <w:rPr>
                <w:rFonts w:ascii="宋体" w:hAnsi="宋体" w:eastAsia="宋体" w:cs="宋体"/>
              </w:rPr>
              <w:t>(小组)</w:t>
            </w:r>
          </w:p>
        </w:tc>
        <w:tc>
          <w:tcPr>
            <w:tcW w:w="1417" w:type="dxa"/>
            <w:shd w:val="clear" w:color="auto" w:fill="auto"/>
            <w:noWrap w:val="0"/>
            <w:vAlign w:val="center"/>
          </w:tcPr>
          <w:p w14:paraId="23566425">
            <w:pPr>
              <w:adjustRightInd w:val="0"/>
              <w:snapToGrid w:val="0"/>
              <w:jc w:val="center"/>
            </w:pPr>
            <w:r>
              <w:rPr>
                <w:rFonts w:ascii="宋体" w:hAnsi="宋体" w:eastAsia="宋体" w:cs="宋体"/>
              </w:rPr>
              <w:t>姓名</w:t>
            </w:r>
          </w:p>
        </w:tc>
        <w:tc>
          <w:tcPr>
            <w:tcW w:w="2693" w:type="dxa"/>
            <w:gridSpan w:val="2"/>
            <w:shd w:val="clear" w:color="auto" w:fill="auto"/>
            <w:noWrap w:val="0"/>
            <w:vAlign w:val="center"/>
          </w:tcPr>
          <w:p w14:paraId="22DF1AA5">
            <w:pPr>
              <w:adjustRightInd w:val="0"/>
              <w:snapToGrid w:val="0"/>
              <w:jc w:val="center"/>
            </w:pPr>
            <w:r>
              <w:rPr>
                <w:rFonts w:hint="eastAsia" w:ascii="宋体" w:hAnsi="宋体" w:eastAsia="宋体" w:cs="宋体"/>
              </w:rPr>
              <w:t>学号</w:t>
            </w:r>
          </w:p>
        </w:tc>
        <w:tc>
          <w:tcPr>
            <w:tcW w:w="3310" w:type="dxa"/>
            <w:shd w:val="clear" w:color="auto" w:fill="auto"/>
            <w:noWrap w:val="0"/>
            <w:vAlign w:val="center"/>
          </w:tcPr>
          <w:p w14:paraId="7431F7E7">
            <w:pPr>
              <w:adjustRightInd w:val="0"/>
              <w:snapToGrid w:val="0"/>
              <w:jc w:val="center"/>
            </w:pPr>
            <w:r>
              <w:rPr>
                <w:rFonts w:hint="eastAsia" w:ascii="宋体" w:hAnsi="宋体" w:eastAsia="宋体" w:cs="宋体"/>
              </w:rPr>
              <w:t>联系方式</w:t>
            </w:r>
          </w:p>
        </w:tc>
      </w:tr>
      <w:tr w14:paraId="2B88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435" w:hRule="atLeast"/>
        </w:trPr>
        <w:tc>
          <w:tcPr>
            <w:tcW w:w="1101" w:type="dxa"/>
            <w:vMerge w:val="continue"/>
            <w:shd w:val="clear" w:color="auto" w:fill="auto"/>
            <w:noWrap w:val="0"/>
            <w:textDirection w:val="tbRlV"/>
            <w:vAlign w:val="top"/>
          </w:tcPr>
          <w:p w14:paraId="71A3FEE8">
            <w:pPr>
              <w:ind w:left="113" w:right="113"/>
              <w:jc w:val="center"/>
            </w:pPr>
          </w:p>
        </w:tc>
        <w:tc>
          <w:tcPr>
            <w:tcW w:w="1417" w:type="dxa"/>
            <w:shd w:val="clear" w:color="auto" w:fill="auto"/>
            <w:noWrap w:val="0"/>
            <w:vAlign w:val="top"/>
          </w:tcPr>
          <w:p>
            <w:pPr>
              <w:spacing w:line="276" w:lineRule="auto"/>
              <w:jc w:val="center"/>
            </w:pPr>
            <w:r>
              <w:rPr>
                <w:rFonts w:ascii="宋体" w:hAnsi="宋体" w:eastAsia="宋体" w:cs="宋体"/>
                <w:b w:val="0"/>
                <w:color w:val="000000"/>
                <w:sz w:val="21"/>
              </w:rPr>
              <w:t>【待填写】</w:t>
            </w:r>
          </w:p>
        </w:tc>
        <w:tc>
          <w:tcPr>
            <w:tcW w:w="2693" w:type="dxa"/>
            <w:gridSpan w:val="2"/>
            <w:shd w:val="clear" w:color="auto" w:fill="auto"/>
            <w:noWrap w:val="0"/>
            <w:vAlign w:val="top"/>
          </w:tcPr>
          <w:p>
            <w:pPr>
              <w:spacing w:line="276" w:lineRule="auto"/>
              <w:jc w:val="center"/>
            </w:pPr>
            <w:r>
              <w:rPr>
                <w:rFonts w:ascii="宋体" w:hAnsi="宋体" w:eastAsia="宋体" w:cs="宋体"/>
                <w:b w:val="0"/>
                <w:color w:val="000000"/>
                <w:sz w:val="21"/>
              </w:rPr>
              <w:t>【待填写】</w:t>
            </w:r>
          </w:p>
        </w:tc>
        <w:tc>
          <w:tcPr>
            <w:tcW w:w="3310" w:type="dxa"/>
            <w:shd w:val="clear" w:color="auto" w:fill="auto"/>
            <w:noWrap w:val="0"/>
            <w:vAlign w:val="top"/>
          </w:tcPr>
          <w:p>
            <w:pPr>
              <w:spacing w:line="276" w:lineRule="auto"/>
              <w:jc w:val="center"/>
            </w:pPr>
            <w:r>
              <w:rPr>
                <w:rFonts w:ascii="宋体" w:hAnsi="宋体" w:eastAsia="宋体" w:cs="宋体"/>
                <w:b w:val="0"/>
                <w:color w:val="000000"/>
                <w:sz w:val="21"/>
              </w:rPr>
              <w:t>【待填写】</w:t>
            </w:r>
          </w:p>
        </w:tc>
      </w:tr>
      <w:tr w14:paraId="2500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435" w:hRule="atLeast"/>
        </w:trPr>
        <w:tc>
          <w:tcPr>
            <w:tcW w:w="1101" w:type="dxa"/>
            <w:vMerge w:val="continue"/>
            <w:shd w:val="clear" w:color="auto" w:fill="auto"/>
            <w:noWrap w:val="0"/>
            <w:textDirection w:val="tbRlV"/>
            <w:vAlign w:val="top"/>
          </w:tcPr>
          <w:p w14:paraId="5C6B87E8">
            <w:pPr>
              <w:ind w:left="113" w:right="113"/>
              <w:jc w:val="center"/>
            </w:pPr>
          </w:p>
        </w:tc>
        <w:tc>
          <w:tcPr>
            <w:tcW w:w="1417" w:type="dxa"/>
            <w:shd w:val="clear" w:color="auto" w:fill="auto"/>
            <w:noWrap w:val="0"/>
            <w:vAlign w:val="top"/>
          </w:tcPr>
          <w:p>
            <w:pPr>
              <w:spacing w:line="276" w:lineRule="auto"/>
              <w:jc w:val="center"/>
            </w:pPr>
            <w:r>
              <w:rPr>
                <w:rFonts w:ascii="宋体" w:hAnsi="宋体" w:eastAsia="宋体" w:cs="宋体"/>
                <w:b w:val="0"/>
                <w:color w:val="000000"/>
                <w:sz w:val="21"/>
              </w:rPr>
              <w:t>【待填写】</w:t>
            </w:r>
          </w:p>
        </w:tc>
        <w:tc>
          <w:tcPr>
            <w:tcW w:w="2693" w:type="dxa"/>
            <w:gridSpan w:val="2"/>
            <w:shd w:val="clear" w:color="auto" w:fill="auto"/>
            <w:noWrap w:val="0"/>
            <w:vAlign w:val="top"/>
          </w:tcPr>
          <w:p>
            <w:pPr>
              <w:spacing w:line="276" w:lineRule="auto"/>
              <w:jc w:val="center"/>
            </w:pPr>
            <w:r>
              <w:rPr>
                <w:rFonts w:ascii="宋体" w:hAnsi="宋体" w:eastAsia="宋体" w:cs="宋体"/>
                <w:b w:val="0"/>
                <w:color w:val="000000"/>
                <w:sz w:val="21"/>
              </w:rPr>
              <w:t>【待填写】</w:t>
            </w:r>
          </w:p>
        </w:tc>
        <w:tc>
          <w:tcPr>
            <w:tcW w:w="3310" w:type="dxa"/>
            <w:shd w:val="clear" w:color="auto" w:fill="auto"/>
            <w:noWrap w:val="0"/>
            <w:vAlign w:val="top"/>
          </w:tcPr>
          <w:p>
            <w:pPr>
              <w:spacing w:line="276" w:lineRule="auto"/>
              <w:jc w:val="center"/>
            </w:pPr>
            <w:r>
              <w:rPr>
                <w:rFonts w:ascii="宋体" w:hAnsi="宋体" w:eastAsia="宋体" w:cs="宋体"/>
                <w:b w:val="0"/>
                <w:color w:val="000000"/>
                <w:sz w:val="21"/>
              </w:rPr>
              <w:t>【待填写】</w:t>
            </w:r>
          </w:p>
        </w:tc>
      </w:tr>
      <w:tr w14:paraId="17CB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435" w:hRule="atLeast"/>
        </w:trPr>
        <w:tc>
          <w:tcPr>
            <w:tcW w:w="1101" w:type="dxa"/>
            <w:vMerge w:val="continue"/>
            <w:shd w:val="clear" w:color="auto" w:fill="auto"/>
            <w:noWrap w:val="0"/>
            <w:textDirection w:val="tbRlV"/>
            <w:vAlign w:val="top"/>
          </w:tcPr>
          <w:p w14:paraId="1F323558">
            <w:pPr>
              <w:ind w:left="113" w:right="113"/>
              <w:jc w:val="center"/>
            </w:pPr>
          </w:p>
        </w:tc>
        <w:tc>
          <w:tcPr>
            <w:tcW w:w="1417" w:type="dxa"/>
            <w:shd w:val="clear" w:color="auto" w:fill="auto"/>
            <w:noWrap w:val="0"/>
            <w:vAlign w:val="top"/>
          </w:tcPr>
          <w:p>
            <w:pPr>
              <w:spacing w:line="276" w:lineRule="auto"/>
              <w:jc w:val="center"/>
            </w:pPr>
            <w:r>
              <w:rPr>
                <w:rFonts w:ascii="宋体" w:hAnsi="宋体" w:eastAsia="宋体" w:cs="宋体"/>
                <w:b w:val="0"/>
                <w:color w:val="000000"/>
                <w:sz w:val="21"/>
              </w:rPr>
              <w:t>【待填写】</w:t>
            </w:r>
          </w:p>
        </w:tc>
        <w:tc>
          <w:tcPr>
            <w:tcW w:w="2693" w:type="dxa"/>
            <w:gridSpan w:val="2"/>
            <w:shd w:val="clear" w:color="auto" w:fill="auto"/>
            <w:noWrap w:val="0"/>
            <w:vAlign w:val="top"/>
          </w:tcPr>
          <w:p>
            <w:pPr>
              <w:spacing w:line="276" w:lineRule="auto"/>
              <w:jc w:val="center"/>
            </w:pPr>
            <w:r>
              <w:rPr>
                <w:rFonts w:ascii="宋体" w:hAnsi="宋体" w:eastAsia="宋体" w:cs="宋体"/>
                <w:b w:val="0"/>
                <w:color w:val="000000"/>
                <w:sz w:val="21"/>
              </w:rPr>
              <w:t>【待填写】</w:t>
            </w:r>
          </w:p>
        </w:tc>
        <w:tc>
          <w:tcPr>
            <w:tcW w:w="3310" w:type="dxa"/>
            <w:shd w:val="clear" w:color="auto" w:fill="auto"/>
            <w:noWrap w:val="0"/>
            <w:vAlign w:val="top"/>
          </w:tcPr>
          <w:p>
            <w:pPr>
              <w:spacing w:line="276" w:lineRule="auto"/>
              <w:jc w:val="center"/>
            </w:pPr>
            <w:r>
              <w:rPr>
                <w:rFonts w:ascii="宋体" w:hAnsi="宋体" w:eastAsia="宋体" w:cs="宋体"/>
                <w:b w:val="0"/>
                <w:color w:val="000000"/>
                <w:sz w:val="21"/>
              </w:rPr>
              <w:t>【待填写】</w:t>
            </w:r>
          </w:p>
        </w:tc>
      </w:tr>
      <w:tr w14:paraId="36AF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586" w:hRule="atLeast"/>
        </w:trPr>
        <w:tc>
          <w:tcPr>
            <w:tcW w:w="1101" w:type="dxa"/>
            <w:shd w:val="clear" w:color="auto" w:fill="auto"/>
            <w:noWrap w:val="0"/>
            <w:vAlign w:val="center"/>
          </w:tcPr>
          <w:p w14:paraId="155D424F">
            <w:pPr>
              <w:jc w:val="center"/>
              <w:rPr>
                <w:rFonts w:hint="eastAsia"/>
              </w:rPr>
            </w:pPr>
            <w:r>
              <w:rPr>
                <w:rFonts w:hint="eastAsia" w:ascii="宋体" w:hAnsi="宋体" w:eastAsia="宋体" w:cs="宋体"/>
              </w:rPr>
              <w:t>指导教师</w:t>
            </w:r>
          </w:p>
        </w:tc>
        <w:tc>
          <w:tcPr>
            <w:tcW w:w="1417" w:type="dxa"/>
            <w:shd w:val="clear" w:color="auto" w:fill="auto"/>
            <w:noWrap w:val="0"/>
            <w:vAlign w:val="center"/>
          </w:tcPr>
          <w:p w14:paraId="3AE5EA42">
            <w:pPr>
              <w:jc w:val="center"/>
            </w:pPr>
            <w:r>
              <w:rPr>
                <w:rFonts w:ascii="宋体" w:hAnsi="宋体" w:eastAsia="宋体" w:cs="宋体"/>
              </w:rPr>
              <w:t>姓名</w:t>
            </w:r>
          </w:p>
        </w:tc>
        <w:tc>
          <w:tcPr>
            <w:tcW w:w="1559" w:type="dxa"/>
            <w:shd w:val="clear" w:color="auto" w:fill="auto"/>
            <w:noWrap w:val="0"/>
            <w:vAlign w:val="center"/>
          </w:tcPr>
          <w:p>
            <w:pPr>
              <w:spacing w:line="276" w:lineRule="auto"/>
              <w:jc w:val="center"/>
            </w:pPr>
            <w:r>
              <w:rPr>
                <w:rFonts w:ascii="宋体" w:hAnsi="宋体" w:eastAsia="宋体" w:cs="宋体"/>
                <w:b w:val="0"/>
                <w:color w:val="000000"/>
                <w:sz w:val="21"/>
              </w:rPr>
              <w:t>【待填写】</w:t>
            </w:r>
          </w:p>
        </w:tc>
        <w:tc>
          <w:tcPr>
            <w:tcW w:w="1134" w:type="dxa"/>
            <w:shd w:val="clear" w:color="auto" w:fill="auto"/>
            <w:noWrap w:val="0"/>
            <w:vAlign w:val="center"/>
          </w:tcPr>
          <w:p w14:paraId="5D94099C">
            <w:pPr>
              <w:jc w:val="center"/>
            </w:pPr>
            <w:r>
              <w:rPr>
                <w:rFonts w:hint="eastAsia" w:ascii="宋体" w:hAnsi="宋体" w:eastAsia="宋体" w:cs="宋体"/>
              </w:rPr>
              <w:t>联系方式</w:t>
            </w:r>
          </w:p>
        </w:tc>
        <w:tc>
          <w:tcPr>
            <w:tcW w:w="3310" w:type="dxa"/>
            <w:shd w:val="clear" w:color="auto" w:fill="auto"/>
            <w:noWrap w:val="0"/>
            <w:vAlign w:val="center"/>
          </w:tcPr>
          <w:p>
            <w:pPr>
              <w:spacing w:line="276" w:lineRule="auto"/>
              <w:jc w:val="center"/>
            </w:pPr>
            <w:r>
              <w:rPr>
                <w:rFonts w:ascii="宋体" w:hAnsi="宋体" w:eastAsia="宋体" w:cs="宋体"/>
                <w:b w:val="0"/>
                <w:color w:val="000000"/>
                <w:sz w:val="21"/>
              </w:rPr>
              <w:t>【待填写】</w:t>
            </w:r>
          </w:p>
        </w:tc>
      </w:tr>
      <w:tr w14:paraId="61D8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pageBreakBefore w:val="0"/>
              <w:widowControl/>
              <w:snapToGrid w:val="0"/>
              <w:spacing w:before="120" w:after="100" w:line="360" w:lineRule="auto"/>
              <w:ind w:firstLine="0"/>
            </w:pPr>
            <w:r>
              <w:rPr>
                <w:rFonts w:ascii="宋体" w:hAnsi="宋体" w:eastAsia="宋体" w:cs="宋体"/>
                <w:b/>
                <w:color w:val="000000"/>
                <w:sz w:val="24"/>
              </w:rPr>
              <w:t>一、设计目标与任务</w:t>
            </w:r>
          </w:p>
          <w:p>
            <w:pPr>
              <w:keepNext w:val="0"/>
              <w:pageBreakBefore w:val="0"/>
              <w:widowControl/>
              <w:snapToGrid w:val="0"/>
              <w:spacing w:before="0" w:after="60" w:line="360" w:lineRule="auto"/>
              <w:ind w:firstLine="480"/>
            </w:pPr>
            <w:r>
              <w:rPr>
                <w:rFonts w:ascii="宋体" w:hAnsi="宋体" w:eastAsia="宋体" w:cs="宋体"/>
                <w:b w:val="0"/>
                <w:color w:val="000000"/>
                <w:sz w:val="24"/>
              </w:rPr>
              <w:t>本项目面向仅能获得局部航拍观测的目标搜索任务，设计并实现主动视觉地理定位实验系统。给定目标图像和起始位置，智能体通过逐步观察与移动，在有限步数内到达目标所在网格。中期工作重点是建立可信的环境与评测流程，完成可运行原型及受控对照，识别影响定位效果的主要因素。</w:t>
            </w:r>
          </w:p>
          <w:p>
            <w:pPr>
              <w:keepNext w:val="0"/>
              <w:pageBreakBefore w:val="0"/>
              <w:widowControl/>
              <w:snapToGrid w:val="0"/>
              <w:spacing w:before="0" w:after="60" w:line="360" w:lineRule="auto"/>
              <w:ind w:firstLine="480"/>
            </w:pPr>
            <w:r>
              <w:rPr>
                <w:rFonts w:ascii="宋体" w:hAnsi="宋体" w:eastAsia="宋体" w:cs="宋体"/>
                <w:b w:val="0"/>
                <w:color w:val="000000"/>
                <w:sz w:val="24"/>
              </w:rPr>
              <w:t>现阶段采用5×5网格、上右下左四方向动作和10步移动预算，初始曼哈顿距离分为4—8五档。越界移动停留原地并消耗一步；预算内首次到达目标即成功，最后一步到达也计为成功。执行端只能读取目标图、当前局部图及位置、剩余预算、访问记录等公开状态，不能读取真实目标坐标、距离或未访问图块。</w:t>
            </w:r>
          </w:p>
          <w:p>
            <w:pPr>
              <w:keepNext w:val="0"/>
              <w:pageBreakBefore w:val="0"/>
              <w:widowControl/>
              <w:snapToGrid w:val="0"/>
              <w:spacing w:before="0" w:after="60" w:line="360" w:lineRule="auto"/>
              <w:ind w:firstLine="480"/>
            </w:pPr>
            <w:r>
              <w:rPr>
                <w:rFonts w:ascii="宋体" w:hAnsi="宋体" w:eastAsia="宋体" w:cs="宋体"/>
                <w:b w:val="0"/>
                <w:color w:val="000000"/>
                <w:sz w:val="24"/>
              </w:rPr>
              <w:t>具体任务包括：完成数据清单及划分校验；统一成功率、最终距离和工程完成率的统计；接入视觉语言模型并逐项验证记忆、循环治理和层级搜索；保存完整日志并进行轨迹重放；在证据支持后开展独立源图及扩展实验。</w:t>
            </w:r>
          </w:p>
          <w:p>
            <w:pPr>
              <w:keepNext w:val="0"/>
              <w:pageBreakBefore w:val="0"/>
              <w:widowControl/>
              <w:snapToGrid w:val="0"/>
              <w:spacing w:before="0" w:after="60" w:line="360" w:lineRule="auto"/>
              <w:ind w:firstLine="480"/>
            </w:pPr>
            <w:r>
              <w:rPr>
                <w:rFonts w:ascii="宋体" w:hAnsi="宋体" w:eastAsia="宋体" w:cs="宋体"/>
                <w:b w:val="0"/>
                <w:color w:val="000000"/>
                <w:sz w:val="24"/>
              </w:rPr>
              <w:t>原选题拟探索零训练多智能体方法。当前已实现单VLM与规则模块，并新增本地小策略网络训练分支作为对照和机制诊断。该分支需要训练，不能作为原“零训练多智能体”目标已经完成的证明；多角色协作仍是后续任务。</w:t>
            </w:r>
          </w:p>
        </w:tc>
      </w:tr>
    </w:tbl>
    <w:p>
      <w:pPr>
        <w:spacing w:after="0" w:before="0" w:line="20" w:lineRule="exact"/>
        <w:keepNext/>
        <w:pageBreakBefore/>
        <w:snapToGrid w:val="0"/>
      </w:pPr>
      <w:r>
        <w:rPr>
          <w:rFonts w:ascii="宋体" w:hAnsi="宋体" w:eastAsia="宋体" w:cs="宋体"/>
          <w:b w:val="0"/>
          <w:color w:val="000000"/>
          <w:sz w:val="2"/>
        </w:rPr>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7D0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widowControl/>
              <w:snapToGrid w:val="0"/>
              <w:spacing w:before="120" w:after="100" w:line="360" w:lineRule="auto"/>
              <w:ind w:firstLine="0"/>
            </w:pPr>
            <w:r>
              <w:rPr>
                <w:rFonts w:ascii="宋体" w:hAnsi="宋体" w:eastAsia="宋体" w:cs="宋体"/>
                <w:b/>
                <w:color w:val="000000"/>
                <w:sz w:val="24"/>
              </w:rPr>
              <w:t>二、完成情况</w:t>
            </w:r>
          </w:p>
          <w:p>
            <w:pPr>
              <w:keepNext/>
              <w:widowControl/>
              <w:snapToGrid w:val="0"/>
              <w:spacing w:before="120" w:after="100" w:line="360" w:lineRule="auto"/>
              <w:ind w:firstLine="0"/>
            </w:pPr>
            <w:r>
              <w:rPr>
                <w:rFonts w:ascii="宋体" w:hAnsi="宋体" w:eastAsia="宋体" w:cs="宋体"/>
                <w:b/>
                <w:color w:val="000000"/>
                <w:sz w:val="24"/>
              </w:rPr>
              <w:t>（一）数据、交互环境与统一评测</w:t>
            </w:r>
          </w:p>
          <w:p>
            <w:pPr>
              <w:keepNext w:val="0"/>
              <w:widowControl/>
              <w:snapToGrid w:val="0"/>
              <w:spacing w:before="0" w:after="60" w:line="360" w:lineRule="auto"/>
              <w:ind w:firstLine="480"/>
            </w:pPr>
            <w:r>
              <w:rPr>
                <w:rFonts w:ascii="宋体" w:hAnsi="宋体" w:eastAsia="宋体" w:cs="宋体"/>
                <w:b w:val="0"/>
                <w:color w:val="000000"/>
                <w:sz w:val="24"/>
              </w:rPr>
              <w:t>已完成MASA本地数据处理和任务清单校验。当前train、val、test分别包含137、4、10张源图，固定任务分别为3425、100、250题。按源图隔离划分，并核对图块数量、尺寸、索引和文件哈希。val100实际包含86种不同的“区域—起点—目标”组合，重复轮次不视作新增独立地图。</w:t>
            </w:r>
          </w:p>
          <w:p>
            <w:pPr>
              <w:keepNext w:val="0"/>
              <w:widowControl/>
              <w:snapToGrid w:val="0"/>
              <w:spacing w:before="0" w:after="60" w:line="360" w:lineRule="auto"/>
              <w:ind w:firstLine="480"/>
            </w:pPr>
            <w:r>
              <w:rPr>
                <w:rFonts w:ascii="宋体" w:hAnsi="宋体" w:eastAsia="宋体" w:cs="宋体"/>
                <w:b w:val="0"/>
                <w:color w:val="000000"/>
                <w:sz w:val="24"/>
              </w:rPr>
              <w:t>已实现局部观测网格环境，明确移动边界、预算扣减和终止规则；重编码图像以去除文件名和元数据线索。任务答案仅保留在训练奖励构造或评测端。现有120项回归测试全部通过，覆盖动作边界、最后一步成功、划分冒充、观测泄漏防护、序列训练及目标替换等情况。</w:t>
            </w:r>
          </w:p>
          <w:p>
            <w:pPr>
              <w:keepNext w:val="0"/>
              <w:widowControl/>
              <w:snapToGrid w:val="0"/>
              <w:spacing w:before="0" w:after="60" w:line="360" w:lineRule="auto"/>
              <w:ind w:firstLine="480"/>
            </w:pPr>
            <w:r>
              <w:rPr>
                <w:rFonts w:ascii="宋体" w:hAnsi="宋体" w:eastAsia="宋体" w:cs="宋体"/>
                <w:b w:val="0"/>
                <w:color w:val="000000"/>
                <w:sz w:val="24"/>
              </w:rPr>
              <w:t>统一采用SR衡量预算内到达目标的比例，SG衡量全部任务最终曼哈顿距离均值，Q衡量正常完成的比例。正式放行时，SR按计划题数计算；中断题不能算成功，SG按最大网格距离作保守补入。另记录重访率、越界率、分距离结果和调用时延，避免用“程序完成”替代“定位成功”。</w:t>
            </w:r>
          </w:p>
          <w:p>
            <w:pPr>
              <w:keepNext w:val="0"/>
              <w:widowControl/>
              <w:snapToGrid w:val="0"/>
              <w:spacing w:before="0" w:after="60" w:line="360" w:lineRule="auto"/>
              <w:ind w:firstLine="480"/>
            </w:pPr>
            <w:r>
              <w:rPr>
                <w:rFonts w:ascii="宋体" w:hAnsi="宋体" w:eastAsia="宋体" w:cs="宋体"/>
                <w:b w:val="0"/>
                <w:color w:val="000000"/>
                <w:sz w:val="24"/>
              </w:rPr>
              <w:t>已建立批次预登记、配置与源码快照、数据及模型哈希、逐步动作和终态日志。云端请求错误单列，不以随机动作掩盖失败；本地模型评测逐题重新执行神经决策及环境转移，核对日志和统计值，为后续单因素实验提供统一依据。</w:t>
            </w:r>
          </w:p>
          <w:p>
            <w:pPr>
              <w:keepNext/>
              <w:widowControl/>
              <w:snapToGrid w:val="0"/>
              <w:spacing w:before="120" w:after="100" w:line="360" w:lineRule="auto"/>
              <w:ind w:firstLine="0"/>
            </w:pPr>
            <w:r>
              <w:rPr>
                <w:rFonts w:ascii="宋体" w:hAnsi="宋体" w:eastAsia="宋体" w:cs="宋体"/>
                <w:b/>
                <w:color w:val="000000"/>
                <w:sz w:val="24"/>
              </w:rPr>
              <w:t>（二）最小VLM接入与小规模策略实验</w:t>
            </w:r>
          </w:p>
          <w:p>
            <w:pPr>
              <w:keepNext w:val="0"/>
              <w:widowControl/>
              <w:snapToGrid w:val="0"/>
              <w:spacing w:before="0" w:after="60" w:line="360" w:lineRule="auto"/>
              <w:ind w:firstLine="480"/>
            </w:pPr>
            <w:r>
              <w:rPr>
                <w:rFonts w:ascii="宋体" w:hAnsi="宋体" w:eastAsia="宋体" w:cs="宋体"/>
                <w:b w:val="0"/>
                <w:color w:val="000000"/>
                <w:sz w:val="24"/>
              </w:rPr>
              <w:t>已通过云端多图接口接入gemma4:31b，每步输入目标图、当前图及公开状态。完成动作输出解析、请求日志和网络传输兼容修复，并在固定20道验证题上依次测试动作排序、循环治理、空间记忆、邻域确认和粗区域层级搜索。各因素独立保存配置，未将新增模块同时叠加后归因。</w:t>
            </w:r>
          </w:p>
        </w:tc>
      </w:tr>
    </w:tbl>
    <w:p>
      <w:pPr>
        <w:spacing w:after="0" w:before="0" w:line="20" w:lineRule="exact"/>
        <w:keepNext/>
        <w:pageBreakBefore/>
        <w:snapToGrid w:val="0"/>
      </w:pPr>
      <w:r>
        <w:rPr>
          <w:rFonts w:ascii="宋体" w:hAnsi="宋体" w:eastAsia="宋体" w:cs="宋体"/>
          <w:b w:val="0"/>
          <w:color w:val="000000"/>
          <w:sz w:val="2"/>
        </w:rPr>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7D0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widowControl/>
              <w:snapToGrid w:val="0"/>
              <w:spacing w:before="0" w:after="80" w:line="264" w:lineRule="auto"/>
              <w:jc w:val="center"/>
            </w:pPr>
            <w:r>
              <w:rPr>
                <w:rFonts w:ascii="宋体" w:hAnsi="宋体" w:eastAsia="宋体" w:cs="宋体"/>
                <w:b/>
                <w:color w:val="000000"/>
                <w:sz w:val="21"/>
              </w:rPr>
              <w:t>表1  云端VLM路线的小规模对照</w:t>
            </w:r>
          </w:p>
          <w:tbl>
            <w:tblPr>
              <w:tblW w:type="dxa" w:w="7881"/>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91"/>
              <w:gridCol w:w="1276"/>
              <w:gridCol w:w="709"/>
              <w:gridCol w:w="3005"/>
            </w:tblGrid>
            <w:tr>
              <w:trPr>
                <w:cantSplit/>
                <w:tblHeader/>
              </w:trPr>
              <w:tc>
                <w:tcPr>
                  <w:tcW w:type="dxa" w:w="2891"/>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方法</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成功/计划题</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SR</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阶段观察</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直接输出动作（A）</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往返循环较多</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四动作排序（B）</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2/20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10%</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收益有限</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排序＋循环治理（C）</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2/20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10%</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重访减少，SR未提升</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空间记忆（E）</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3/20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15%</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正常完成19题</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目标邻域确认（F）</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负结果，冻结</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粗区域层级搜索（G）</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10/20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50%</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与同题Frontier持平</w:t>
                  </w:r>
                </w:p>
              </w:tc>
            </w:tr>
            <w:tr>
              <w:trPr>
                <w:cantSplit/>
              </w:trPr>
              <w:tc>
                <w:tcPr>
                  <w:tcW w:type="dxa" w:w="2891"/>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无图Frontier规则</w:t>
                  </w:r>
                </w:p>
              </w:tc>
              <w:tc>
                <w:tcPr>
                  <w:tcW w:type="dxa" w:w="1276"/>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10/20</w:t>
                  </w:r>
                </w:p>
              </w:tc>
              <w:tc>
                <w:tcPr>
                  <w:tcW w:type="dxa" w:w="709"/>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50%</w:t>
                  </w:r>
                </w:p>
              </w:tc>
              <w:tc>
                <w:tcPr>
                  <w:tcW w:type="dxa" w:w="3005"/>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覆盖效率较高</w:t>
                  </w:r>
                </w:p>
              </w:tc>
            </w:tr>
          </w:tbl>
          <w:p>
            <w:pPr>
              <w:spacing w:after="0" w:line="40" w:lineRule="exact"/>
              <w:snapToGrid w:val="0"/>
            </w:pPr>
            <w:r>
              <w:rPr>
                <w:rFonts w:ascii="宋体" w:hAnsi="宋体" w:eastAsia="宋体" w:cs="宋体"/>
                <w:b w:val="0"/>
                <w:color w:val="000000"/>
                <w:sz w:val="4"/>
              </w:rPr>
            </w:r>
          </w:p>
          <w:p>
            <w:pPr>
              <w:keepNext w:val="0"/>
              <w:widowControl/>
              <w:snapToGrid w:val="0"/>
              <w:spacing w:before="0" w:after="100" w:line="288" w:lineRule="auto"/>
            </w:pPr>
            <w:r>
              <w:rPr>
                <w:rFonts w:ascii="宋体" w:hAnsi="宋体" w:eastAsia="宋体" w:cs="宋体"/>
                <w:b w:val="0"/>
                <w:color w:val="000000"/>
                <w:sz w:val="21"/>
              </w:rPr>
              <w:t>注：表中均按计划20题计算SR，E、F各有1题API中断。最初一次同设置最小VLM试验为0/20；A为后续独立批次。小规模结果不与val100直接排名。</w:t>
            </w:r>
          </w:p>
          <w:p>
            <w:pPr>
              <w:keepNext w:val="0"/>
              <w:widowControl/>
              <w:snapToGrid w:val="0"/>
              <w:spacing w:before="0" w:after="60" w:line="360" w:lineRule="auto"/>
              <w:ind w:firstLine="480"/>
            </w:pPr>
            <w:r>
              <w:rPr>
                <w:rFonts w:ascii="宋体" w:hAnsi="宋体" w:eastAsia="宋体" w:cs="宋体"/>
                <w:b w:val="0"/>
                <w:color w:val="000000"/>
                <w:sz w:val="24"/>
              </w:rPr>
              <w:t>G采用3×3粗区域排序后再选择四方向动作，20题SR为50%、SG为2.00，但尚未显示相对无图规则的SR优势。完整val100的云端S2验证遇到超时、连接异常和限流，G、E首轮分别仅20/100题正常完成。批次收尾不等于评测完成，因此不能据此宣布S2通过。</w:t>
            </w:r>
          </w:p>
          <w:p>
            <w:pPr>
              <w:keepNext/>
              <w:widowControl/>
              <w:snapToGrid w:val="0"/>
              <w:spacing w:before="120" w:after="100" w:line="360" w:lineRule="auto"/>
              <w:ind w:firstLine="0"/>
            </w:pPr>
            <w:r>
              <w:rPr>
                <w:rFonts w:ascii="宋体" w:hAnsi="宋体" w:eastAsia="宋体" w:cs="宋体"/>
                <w:b/>
                <w:color w:val="000000"/>
                <w:sz w:val="24"/>
              </w:rPr>
              <w:t>（三）本地小策略网络与训练实现修正</w:t>
            </w:r>
          </w:p>
          <w:p>
            <w:pPr>
              <w:keepNext w:val="0"/>
              <w:widowControl/>
              <w:snapToGrid w:val="0"/>
              <w:spacing w:before="0" w:after="60" w:line="360" w:lineRule="auto"/>
              <w:ind w:firstLine="480"/>
            </w:pPr>
            <w:r>
              <w:rPr>
                <w:rFonts w:ascii="宋体" w:hAnsi="宋体" w:eastAsia="宋体" w:cs="宋体"/>
                <w:b w:val="0"/>
                <w:color w:val="000000"/>
                <w:sz w:val="24"/>
              </w:rPr>
              <w:t>本地分支采用冻结Sat2Cap特征与约80万参数的GRU策略，输入目标、当前图块特征及公开状态，输出四方向动作。在已有CUDA环境中使用PPO与势函数奖励塑形（PBRS）训练；目标距离仅用于构造奖励，不作为执行输入。</w:t>
            </w:r>
          </w:p>
          <w:p>
            <w:pPr>
              <w:keepNext w:val="0"/>
              <w:widowControl/>
              <w:snapToGrid w:val="0"/>
              <w:spacing w:before="0" w:after="60" w:line="360" w:lineRule="auto"/>
              <w:ind w:firstLine="480"/>
            </w:pPr>
            <w:r>
              <w:rPr>
                <w:rFonts w:ascii="宋体" w:hAnsi="宋体" w:eastAsia="宋体" w:cs="宋体"/>
                <w:b w:val="0"/>
                <w:color w:val="000000"/>
                <w:sz w:val="24"/>
              </w:rPr>
              <w:t>已修正早期训练的到达奖励、终态势函数和序列梯度问题。旧试跑值仅作历史记录；后续统一初始化、训练步数和最终权重，采用三个续训种子配对。</w:t>
            </w:r>
          </w:p>
        </w:tc>
      </w:tr>
    </w:tbl>
    <w:p>
      <w:pPr>
        <w:spacing w:after="0" w:before="0" w:line="20" w:lineRule="exact"/>
        <w:keepNext/>
        <w:pageBreakBefore/>
        <w:snapToGrid w:val="0"/>
      </w:pPr>
      <w:r>
        <w:rPr>
          <w:rFonts w:ascii="宋体" w:hAnsi="宋体" w:eastAsia="宋体" w:cs="宋体"/>
          <w:b w:val="0"/>
          <w:color w:val="000000"/>
          <w:sz w:val="2"/>
        </w:rPr>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7D0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widowControl/>
              <w:snapToGrid w:val="0"/>
              <w:spacing w:before="0" w:after="80" w:line="264" w:lineRule="auto"/>
              <w:jc w:val="center"/>
            </w:pPr>
            <w:r>
              <w:rPr>
                <w:rFonts w:ascii="宋体" w:hAnsi="宋体" w:eastAsia="宋体" w:cs="宋体"/>
                <w:b/>
                <w:color w:val="000000"/>
                <w:sz w:val="21"/>
              </w:rPr>
              <w:t>表2  本地val100上的主要对照结果</w:t>
            </w:r>
          </w:p>
          <w:tbl>
            <w:tblPr>
              <w:tblW w:type="dxa" w:w="7881"/>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88"/>
              <w:gridCol w:w="1134"/>
              <w:gridCol w:w="1134"/>
              <w:gridCol w:w="2324"/>
            </w:tblGrid>
            <w:tr>
              <w:trPr>
                <w:cantSplit/>
                <w:tblHeader/>
              </w:trPr>
              <w:tc>
                <w:tcPr>
                  <w:tcW w:type="dxa" w:w="328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方法</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平均SR</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平均SG</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处理意见</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修正PBRS</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44.33%</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1.507</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保留训练对照</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PBRS＋好奇心</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36.33%</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1.813</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未见收益</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PBRS＋好奇心＋距离门控</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44.00%</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1.523</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未超过PBRS</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PBRS＋合法动作筛选</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66.00%</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1.020</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当前保留方案</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再加目标方向监督</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58.00%</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1.177</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未通过候选验收</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Frontier无图规则</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53.00%</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2.110</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最强已测规则</w:t>
                  </w:r>
                </w:p>
              </w:tc>
            </w:tr>
            <w:tr>
              <w:trPr>
                <w:cantSplit/>
              </w:trPr>
              <w:tc>
                <w:tcPr>
                  <w:tcW w:type="dxa" w:w="328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固定区域顺序规则</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29.00%</w:t>
                  </w:r>
                </w:p>
              </w:tc>
              <w:tc>
                <w:tcPr>
                  <w:tcW w:type="dxa" w:w="113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2.330</w:t>
                  </w:r>
                </w:p>
              </w:tc>
              <w:tc>
                <w:tcPr>
                  <w:tcW w:type="dxa" w:w="2324"/>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规则对照</w:t>
                  </w:r>
                </w:p>
              </w:tc>
            </w:tr>
          </w:tbl>
          <w:p>
            <w:pPr>
              <w:spacing w:after="0" w:line="40" w:lineRule="exact"/>
              <w:snapToGrid w:val="0"/>
            </w:pPr>
            <w:r>
              <w:rPr>
                <w:rFonts w:ascii="宋体" w:hAnsi="宋体" w:eastAsia="宋体" w:cs="宋体"/>
                <w:b w:val="0"/>
                <w:color w:val="000000"/>
                <w:sz w:val="4"/>
              </w:rPr>
            </w:r>
          </w:p>
          <w:p>
            <w:pPr>
              <w:keepNext w:val="0"/>
              <w:widowControl/>
              <w:snapToGrid w:val="0"/>
              <w:spacing w:before="0" w:after="100" w:line="288" w:lineRule="auto"/>
            </w:pPr>
            <w:r>
              <w:rPr>
                <w:rFonts w:ascii="宋体" w:hAnsi="宋体" w:eastAsia="宋体" w:cs="宋体"/>
                <w:b w:val="0"/>
                <w:color w:val="000000"/>
                <w:sz w:val="21"/>
              </w:rPr>
              <w:t>注：学习方法为三个续训种子的平均值，各次训练40,960个实际环境步；确定性规则执行一次并核验可复现。三种子共享历史预训练初始化，不是三次独立预训练。所有方法使用同一5×5、B=10、C=4—8的val100清单。</w:t>
            </w:r>
          </w:p>
          <w:p>
            <w:pPr>
              <w:keepNext w:val="0"/>
              <w:widowControl/>
              <w:snapToGrid w:val="0"/>
              <w:spacing w:before="0" w:after="60" w:line="360" w:lineRule="auto"/>
              <w:ind w:firstLine="480"/>
            </w:pPr>
            <w:r>
              <w:rPr>
                <w:rFonts w:ascii="宋体" w:hAnsi="宋体" w:eastAsia="宋体" w:cs="宋体"/>
                <w:b w:val="0"/>
                <w:color w:val="000000"/>
                <w:sz w:val="24"/>
              </w:rPr>
              <w:t>好奇心实验采用独立预训练、动作条件化且在PPO阶段冻结的预测器，误差在train内归一化。距离门控虽改善无门控好奇心，但未超过PBRS，故未继续叠加；该适配不等于完整复现DynCur-Geo。</w:t>
            </w:r>
          </w:p>
          <w:p>
            <w:pPr>
              <w:keepNext w:val="0"/>
              <w:widowControl/>
              <w:snapToGrid w:val="0"/>
              <w:spacing w:before="0" w:after="60" w:line="360" w:lineRule="auto"/>
              <w:ind w:firstLine="480"/>
            </w:pPr>
            <w:r>
              <w:rPr>
                <w:rFonts w:ascii="宋体" w:hAnsi="宋体" w:eastAsia="宋体" w:cs="宋体"/>
                <w:b w:val="0"/>
                <w:color w:val="000000"/>
                <w:sz w:val="24"/>
              </w:rPr>
              <w:t>合法动作筛选只读取公开行列位置，排除向网格外移动的方向，并在训练采样、PPO概率更新和推理时保持一致。该因素将平均SR由44.33%提高到66.00%，SG由1.507降至1.020，三个种子均提升，越界率降到0；相对同题Frontier高13个百分点。环境本身的越界耗步规则未改变。</w:t>
            </w:r>
          </w:p>
          <w:p>
            <w:pPr>
              <w:keepNext w:val="0"/>
              <w:widowControl/>
              <w:snapToGrid w:val="0"/>
              <w:spacing w:before="0" w:after="60" w:line="360" w:lineRule="auto"/>
              <w:ind w:firstLine="480"/>
            </w:pPr>
            <w:r>
              <w:rPr>
                <w:rFonts w:ascii="宋体" w:hAnsi="宋体" w:eastAsia="宋体" w:cs="宋体"/>
                <w:b w:val="0"/>
                <w:color w:val="000000"/>
                <w:sz w:val="24"/>
              </w:rPr>
              <w:t>三个种子为66%、72%、60%，采用66%的均值而非最高成绩。合法动作筛选是已有组件，该结果作为工程改进和后续基线，不独立宣称算法创新。</w:t>
            </w:r>
          </w:p>
        </w:tc>
      </w:tr>
    </w:tbl>
    <w:p>
      <w:pPr>
        <w:spacing w:after="0" w:before="0" w:line="20" w:lineRule="exact"/>
        <w:keepNext/>
        <w:pageBreakBefore/>
        <w:snapToGrid w:val="0"/>
      </w:pPr>
      <w:r>
        <w:rPr>
          <w:rFonts w:ascii="宋体" w:hAnsi="宋体" w:eastAsia="宋体" w:cs="宋体"/>
          <w:b w:val="0"/>
          <w:color w:val="000000"/>
          <w:sz w:val="2"/>
        </w:rPr>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7D0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widowControl/>
              <w:snapToGrid w:val="0"/>
              <w:spacing w:before="120" w:after="100" w:line="360" w:lineRule="auto"/>
              <w:ind w:firstLine="0"/>
            </w:pPr>
            <w:r>
              <w:rPr>
                <w:rFonts w:ascii="宋体" w:hAnsi="宋体" w:eastAsia="宋体" w:cs="宋体"/>
                <w:b/>
                <w:color w:val="000000"/>
                <w:sz w:val="24"/>
              </w:rPr>
              <w:t>（四）目标信息利用验证与阶段产出</w:t>
            </w:r>
          </w:p>
          <w:p>
            <w:pPr>
              <w:keepNext w:val="0"/>
              <w:widowControl/>
              <w:snapToGrid w:val="0"/>
              <w:spacing w:before="0" w:after="60" w:line="360" w:lineRule="auto"/>
              <w:ind w:firstLine="480"/>
            </w:pPr>
            <w:r>
              <w:rPr>
                <w:rFonts w:ascii="宋体" w:hAnsi="宋体" w:eastAsia="宋体" w:cs="宋体"/>
                <w:b w:val="0"/>
                <w:color w:val="000000"/>
                <w:sz w:val="24"/>
              </w:rPr>
              <w:t>已分别输入真实目标、固定train特征均值和错误目标图，独立执行完整轨迹，错误图仍按原真实目标计分。动作筛选方案在遮蔽目标后仍有65.67%的SR，仅比真实目标低0.33个百分点，目标贡献证据不足。</w:t>
            </w:r>
          </w:p>
          <w:p>
            <w:pPr>
              <w:keepNext w:val="0"/>
              <w:widowControl/>
              <w:snapToGrid w:val="0"/>
              <w:spacing w:before="0" w:after="60" w:line="360" w:lineRule="auto"/>
              <w:ind w:firstLine="480"/>
            </w:pPr>
            <w:r>
              <w:rPr>
                <w:rFonts w:ascii="宋体" w:hAnsi="宋体" w:eastAsia="宋体" w:cs="宋体"/>
                <w:b w:val="0"/>
                <w:color w:val="000000"/>
                <w:sz w:val="24"/>
              </w:rPr>
              <w:t>进一步加入成对目标方向监督：相同3帧观察历史对应两个不同目标，模型学习各自正确方向。模型结构、PPO奖励和训练步数不变，辅助损失权重固定0.5；目标位置仅用于train端生成标签。全部训练结束后再评测val，不扫描参数。</w:t>
            </w:r>
          </w:p>
          <w:p>
            <w:pPr>
              <w:keepNext/>
              <w:widowControl/>
              <w:snapToGrid w:val="0"/>
              <w:spacing w:before="0" w:after="80" w:line="264" w:lineRule="auto"/>
              <w:jc w:val="center"/>
            </w:pPr>
            <w:r>
              <w:rPr>
                <w:rFonts w:ascii="宋体" w:hAnsi="宋体" w:eastAsia="宋体" w:cs="宋体"/>
                <w:b/>
                <w:color w:val="000000"/>
                <w:sz w:val="21"/>
              </w:rPr>
              <w:t>表3  目标图干预结果（val100，三个种子平均）</w:t>
            </w:r>
          </w:p>
          <w:tbl>
            <w:tblPr>
              <w:tblW w:type="dxa" w:w="7881"/>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587"/>
              <w:gridCol w:w="1587"/>
              <w:gridCol w:w="1587"/>
            </w:tblGrid>
            <w:tr>
              <w:trPr>
                <w:cantSplit/>
                <w:tblHeader/>
              </w:trPr>
              <w:tc>
                <w:tcPr>
                  <w:tcW w:type="dxa" w:w="311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方法</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真实目标SR</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遮蔽目标SR</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错误目标SR</w:t>
                  </w:r>
                </w:p>
              </w:tc>
            </w:tr>
            <w:tr>
              <w:trPr>
                <w:cantSplit/>
              </w:trPr>
              <w:tc>
                <w:tcPr>
                  <w:tcW w:type="dxa" w:w="311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保留的动作筛选方案</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66.00%</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65.67%</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62.00%</w:t>
                  </w:r>
                </w:p>
              </w:tc>
            </w:tr>
            <w:tr>
              <w:trPr>
                <w:cantSplit/>
              </w:trPr>
              <w:tc>
                <w:tcPr>
                  <w:tcW w:type="dxa" w:w="3118"/>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加入目标方向监督</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58.00%</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61.00%</w:t>
                  </w:r>
                </w:p>
              </w:tc>
              <w:tc>
                <w:tcPr>
                  <w:tcW w:type="dxa" w:w="1587"/>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63.00%</w:t>
                  </w:r>
                </w:p>
              </w:tc>
            </w:tr>
          </w:tbl>
          <w:p>
            <w:pPr>
              <w:spacing w:after="0" w:line="40" w:lineRule="exact"/>
              <w:snapToGrid w:val="0"/>
            </w:pPr>
            <w:r>
              <w:rPr>
                <w:rFonts w:ascii="宋体" w:hAnsi="宋体" w:eastAsia="宋体" w:cs="宋体"/>
                <w:b w:val="0"/>
                <w:color w:val="000000"/>
                <w:sz w:val="4"/>
              </w:rPr>
            </w:r>
          </w:p>
          <w:p>
            <w:pPr>
              <w:keepNext w:val="0"/>
              <w:widowControl/>
              <w:snapToGrid w:val="0"/>
              <w:spacing w:before="0" w:after="60" w:line="360" w:lineRule="auto"/>
              <w:ind w:firstLine="480"/>
            </w:pPr>
            <w:r>
              <w:rPr>
                <w:rFonts w:ascii="宋体" w:hAnsi="宋体" w:eastAsia="宋体" w:cs="宋体"/>
                <w:b w:val="0"/>
                <w:color w:val="000000"/>
                <w:sz w:val="24"/>
              </w:rPr>
              <w:t>新监督没有通过候选验收：平均SR下降8个百分点，且真实目标未优于遮蔽和错误目标。成对决策诊断中“两目标动作均正确”率在train源图上由17.90%升至31.97%，在val源图上仅由14.97%升至17.32%，未转化为完整定位收益。因此保留原动作筛选方案，将新监督配置归档为负结果。</w:t>
            </w:r>
          </w:p>
          <w:p>
            <w:pPr>
              <w:keepNext w:val="0"/>
              <w:widowControl/>
              <w:snapToGrid w:val="0"/>
              <w:spacing w:before="0" w:after="60" w:line="360" w:lineRule="auto"/>
              <w:ind w:firstLine="480"/>
            </w:pPr>
            <w:r>
              <w:rPr>
                <w:rFonts w:ascii="宋体" w:hAnsi="宋体" w:eastAsia="宋体" w:cs="宋体"/>
                <w:b w:val="0"/>
                <w:color w:val="000000"/>
                <w:sz w:val="24"/>
              </w:rPr>
              <w:t>已交付环境、VLM接口、规则策略、训练与消融脚本及对应模型、快照和报告。好奇心配对、动作筛选、目标监督三批分别保存1800、2300、1800条评测轨迹，均通过批内重放审计。各批共享任务，这5900条轨迹并非5900个独立地理任务。</w:t>
            </w:r>
          </w:p>
          <w:p>
            <w:pPr>
              <w:keepNext w:val="0"/>
              <w:widowControl/>
              <w:snapToGrid w:val="0"/>
              <w:spacing w:before="0" w:after="60" w:line="360" w:lineRule="auto"/>
              <w:ind w:firstLine="480"/>
            </w:pPr>
            <w:r>
              <w:rPr>
                <w:rFonts w:ascii="宋体" w:hAnsi="宋体" w:eastAsia="宋体" w:cs="宋体"/>
                <w:b w:val="0"/>
                <w:color w:val="000000"/>
                <w:sz w:val="24"/>
              </w:rPr>
              <w:t>平台建设、原型实现和问题定位已完成；多VLM协作、完整S2、独立测试及大网格与跨数据集实验尚未完成。</w:t>
            </w:r>
          </w:p>
        </w:tc>
      </w:tr>
    </w:tbl>
    <w:p>
      <w:pPr>
        <w:spacing w:after="0" w:before="0" w:line="20" w:lineRule="exact"/>
        <w:keepNext/>
        <w:pageBreakBefore/>
        <w:snapToGrid w:val="0"/>
      </w:pPr>
      <w:r>
        <w:rPr>
          <w:rFonts w:ascii="宋体" w:hAnsi="宋体" w:eastAsia="宋体" w:cs="宋体"/>
          <w:b w:val="0"/>
          <w:color w:val="000000"/>
          <w:sz w:val="2"/>
        </w:rPr>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7D0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widowControl/>
              <w:snapToGrid w:val="0"/>
              <w:spacing w:before="120" w:after="100" w:line="360" w:lineRule="auto"/>
              <w:ind w:firstLine="0"/>
            </w:pPr>
            <w:r>
              <w:rPr>
                <w:rFonts w:ascii="宋体" w:hAnsi="宋体" w:eastAsia="宋体" w:cs="宋体"/>
                <w:b/>
                <w:color w:val="000000"/>
                <w:sz w:val="24"/>
              </w:rPr>
              <w:t>三、存在的主要问题</w:t>
            </w:r>
          </w:p>
          <w:p>
            <w:pPr>
              <w:keepNext w:val="0"/>
              <w:widowControl/>
              <w:snapToGrid w:val="0"/>
              <w:spacing w:before="0" w:after="60" w:line="360" w:lineRule="auto"/>
              <w:ind w:firstLine="480"/>
            </w:pPr>
            <w:r>
              <w:rPr>
                <w:rFonts w:ascii="宋体" w:hAnsi="宋体" w:eastAsia="宋体" w:cs="宋体"/>
                <w:b w:val="0"/>
                <w:color w:val="000000"/>
                <w:sz w:val="24"/>
              </w:rPr>
              <w:t>1. 目标视觉信息尚未形成稳定正贡献。动作筛选方案在真实和遮蔽目标下的SR接近，增加方向监督也未改善定位。这说明目前还不能把66%的结果归因于有效的目标识别与视觉引导。输入干预可能带来分布变化，因此也不能直接断言模型完全没有使用视觉。后续应先检验特征匹配的跨源图泛化，再接回导航。</w:t>
            </w:r>
          </w:p>
          <w:p>
            <w:pPr>
              <w:keepNext w:val="0"/>
              <w:widowControl/>
              <w:snapToGrid w:val="0"/>
              <w:spacing w:before="0" w:after="60" w:line="360" w:lineRule="auto"/>
              <w:ind w:firstLine="480"/>
            </w:pPr>
            <w:r>
              <w:rPr>
                <w:rFonts w:ascii="宋体" w:hAnsi="宋体" w:eastAsia="宋体" w:cs="宋体"/>
                <w:b w:val="0"/>
                <w:color w:val="000000"/>
                <w:sz w:val="24"/>
              </w:rPr>
              <w:t>2. 结果仍不满足完整阶段验收。S2要求平均SR≥60%、SG≤1.8，并同时约束相对规则收益、分距离表现、每轮重访率、三轮波动和组件消融。动作筛选方案虽然达到SR、SG要求，但三轮极差为12个百分点，超过10点；一轮重访率为11.38%，超过10%；目标贡献未达预定的5点增益，故尚不能进入扩展阶段。</w:t>
            </w:r>
          </w:p>
          <w:p>
            <w:pPr>
              <w:keepNext w:val="0"/>
              <w:widowControl/>
              <w:snapToGrid w:val="0"/>
              <w:spacing w:before="0" w:after="60" w:line="360" w:lineRule="auto"/>
              <w:ind w:firstLine="480"/>
            </w:pPr>
            <w:r>
              <w:rPr>
                <w:rFonts w:ascii="宋体" w:hAnsi="宋体" w:eastAsia="宋体" w:cs="宋体"/>
                <w:b w:val="0"/>
                <w:color w:val="000000"/>
                <w:sz w:val="24"/>
              </w:rPr>
              <w:t>3. 数据规模与统计独立性有限。val仅4张源图，100题包含重复路线。继续在同一验证集上调整容易高估泛化能力。与论文相比，本地划分、训练池、预算和边界处理也不完全相同；论文中的成功率只能参考量级，不能直接相减后宣称优于论文。</w:t>
            </w:r>
          </w:p>
          <w:p>
            <w:pPr>
              <w:keepNext w:val="0"/>
              <w:widowControl/>
              <w:snapToGrid w:val="0"/>
              <w:spacing w:before="0" w:after="60" w:line="360" w:lineRule="auto"/>
              <w:ind w:firstLine="480"/>
            </w:pPr>
            <w:r>
              <w:rPr>
                <w:rFonts w:ascii="宋体" w:hAnsi="宋体" w:eastAsia="宋体" w:cs="宋体"/>
                <w:b w:val="0"/>
                <w:color w:val="000000"/>
                <w:sz w:val="24"/>
              </w:rPr>
              <w:t>4. 原选题目标与已实现内容仍有差距。当前系统主要是单VLM或小模型与规则模块配合，尚不具备经过验证的规划、执行和检查多角色协作。新增本地训练分支有助于受控诊断，但不能称为零训练方案。后续需围绕原课题明确协作模块的必要性、信息边界及调用成本。</w:t>
            </w:r>
          </w:p>
          <w:p>
            <w:pPr>
              <w:keepNext w:val="0"/>
              <w:widowControl/>
              <w:snapToGrid w:val="0"/>
              <w:spacing w:before="0" w:after="60" w:line="360" w:lineRule="auto"/>
              <w:ind w:firstLine="480"/>
            </w:pPr>
            <w:r>
              <w:rPr>
                <w:rFonts w:ascii="宋体" w:hAnsi="宋体" w:eastAsia="宋体" w:cs="宋体"/>
                <w:b w:val="0"/>
                <w:color w:val="000000"/>
                <w:sz w:val="24"/>
              </w:rPr>
              <w:t>5. 云端验证和旧实现影响了实验进度。完整云端S2遇到超时、连接异常和限流；早期训练错误使部分结果只能作为历史记录。虽然已修正实现并补齐审计，后续仍需坚持预登记、统一预算和等条件对照，避免同时增加多个因素、重复试到过线或选最好种子报告。</w:t>
            </w:r>
          </w:p>
        </w:tc>
      </w:tr>
    </w:tbl>
    <w:p>
      <w:pPr>
        <w:spacing w:after="0" w:before="0" w:line="20" w:lineRule="exact"/>
        <w:keepNext/>
        <w:pageBreakBefore/>
        <w:snapToGrid w:val="0"/>
      </w:pPr>
      <w:r>
        <w:rPr>
          <w:rFonts w:ascii="宋体" w:hAnsi="宋体" w:eastAsia="宋体" w:cs="宋体"/>
          <w:b w:val="0"/>
          <w:color w:val="000000"/>
          <w:sz w:val="2"/>
        </w:rPr>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1559"/>
        <w:gridCol w:w="1134"/>
        <w:gridCol w:w="3310"/>
        <w:gridCol w:w="7"/>
      </w:tblGrid>
      <w:tr w14:paraId="7D0F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hRule="auto"/>
        </w:trPr>
        <w:tc>
          <w:tcPr>
            <w:tcW w:w="8521" w:type="dxa"/>
            <w:gridSpan w:val="5"/>
            <w:shd w:val="clear" w:color="auto" w:fill="auto"/>
            <w:noWrap w:val="0"/>
            <w:vAlign w:val="top"/>
          </w:tcPr>
          <w:p>
            <w:pPr>
              <w:keepNext/>
              <w:widowControl/>
              <w:snapToGrid w:val="0"/>
              <w:spacing w:before="120" w:after="100" w:line="360" w:lineRule="auto"/>
              <w:ind w:firstLine="0"/>
            </w:pPr>
            <w:r>
              <w:rPr>
                <w:rFonts w:ascii="宋体" w:hAnsi="宋体" w:eastAsia="宋体" w:cs="宋体"/>
                <w:b/>
                <w:color w:val="000000"/>
                <w:sz w:val="24"/>
              </w:rPr>
              <w:t>四、下一步需要完成的工作</w:t>
            </w:r>
          </w:p>
          <w:p>
            <w:pPr>
              <w:keepNext w:val="0"/>
              <w:widowControl/>
              <w:snapToGrid w:val="0"/>
              <w:spacing w:before="0" w:after="60" w:line="360" w:lineRule="auto"/>
              <w:ind w:firstLine="480"/>
            </w:pPr>
            <w:r>
              <w:rPr>
                <w:rFonts w:ascii="宋体" w:hAnsi="宋体" w:eastAsia="宋体" w:cs="宋体"/>
                <w:b w:val="0"/>
                <w:color w:val="000000"/>
                <w:sz w:val="24"/>
              </w:rPr>
              <w:t>后续按“先验证目标信息，再处理搜索行为，最后扩展”的顺序推进。当前保留PBRS＋合法动作筛选作为主基线，冻结本轮未通过的目标方向监督配置，不将其继续叠加到新方案中。</w:t>
            </w:r>
          </w:p>
          <w:p>
            <w:pPr>
              <w:keepNext/>
              <w:widowControl/>
              <w:snapToGrid w:val="0"/>
              <w:spacing w:before="0" w:after="80" w:line="264" w:lineRule="auto"/>
              <w:jc w:val="center"/>
            </w:pPr>
            <w:r>
              <w:rPr>
                <w:rFonts w:ascii="宋体" w:hAnsi="宋体" w:eastAsia="宋体" w:cs="宋体"/>
                <w:b/>
                <w:color w:val="000000"/>
                <w:sz w:val="21"/>
              </w:rPr>
              <w:t>表4  后续工作与检查点</w:t>
            </w:r>
          </w:p>
          <w:tbl>
            <w:tblPr>
              <w:tblW w:type="dxa" w:w="7881"/>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3402"/>
              <w:gridCol w:w="3458"/>
            </w:tblGrid>
            <w:tr>
              <w:trPr>
                <w:cantSplit/>
                <w:tblHeader/>
              </w:trPr>
              <w:tc>
                <w:tcPr>
                  <w:tcW w:type="dxa" w:w="1020"/>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顺序</w:t>
                  </w:r>
                </w:p>
              </w:tc>
              <w:tc>
                <w:tcPr>
                  <w:tcW w:type="dxa" w:w="3402"/>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拟完成工作</w:t>
                  </w:r>
                </w:p>
              </w:tc>
              <w:tc>
                <w:tcPr>
                  <w:tcW w:type="dxa" w:w="345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color w:val="000000"/>
                      <w:sz w:val="21"/>
                    </w:rPr>
                    <w:t>检查点与产出</w:t>
                  </w:r>
                </w:p>
              </w:tc>
            </w:tr>
            <w:tr>
              <w:trPr>
                <w:cantSplit/>
              </w:trPr>
              <w:tc>
                <w:tcPr>
                  <w:tcW w:type="dxa" w:w="1020"/>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第一阶段</w:t>
                  </w:r>
                </w:p>
              </w:tc>
              <w:tc>
                <w:tcPr>
                  <w:tcW w:type="dxa" w:w="3402"/>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train内部按源图留出，检验目标与观察的匹配泛化；比较真实、遮蔽及替换目标。</w:t>
                  </w:r>
                </w:p>
              </w:tc>
              <w:tc>
                <w:tcPr>
                  <w:tcW w:type="dxa" w:w="345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固定划分与预算，先完成匹配诊断，再决定是否接回导航。</w:t>
                  </w:r>
                </w:p>
              </w:tc>
            </w:tr>
            <w:tr>
              <w:trPr>
                <w:cantSplit/>
              </w:trPr>
              <w:tc>
                <w:tcPr>
                  <w:tcW w:type="dxa" w:w="1020"/>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第二阶段</w:t>
                  </w:r>
                </w:p>
              </w:tc>
              <w:tc>
                <w:tcPr>
                  <w:tcW w:type="dxa" w:w="3402"/>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目标信息有证据后，分别处理重复访问和训练波动。</w:t>
                  </w:r>
                </w:p>
              </w:tc>
              <w:tc>
                <w:tcPr>
                  <w:tcW w:type="dxa" w:w="345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同题、同预算、三种子配对；分别报告效果与行为指标。</w:t>
                  </w:r>
                </w:p>
              </w:tc>
            </w:tr>
            <w:tr>
              <w:trPr>
                <w:cantSplit/>
              </w:trPr>
              <w:tc>
                <w:tcPr>
                  <w:tcW w:type="dxa" w:w="1020"/>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第三阶段</w:t>
                  </w:r>
                </w:p>
              </w:tc>
              <w:tc>
                <w:tcPr>
                  <w:tcW w:type="dxa" w:w="3402"/>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实现最小规划/执行或检查角色协作，并做在线消融。</w:t>
                  </w:r>
                </w:p>
              </w:tc>
              <w:tc>
                <w:tcPr>
                  <w:tcW w:type="dxa" w:w="345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只共享公开观测；增加等调用成本单Agent对照，统计请求与时延。</w:t>
                  </w:r>
                </w:p>
              </w:tc>
            </w:tr>
            <w:tr>
              <w:trPr>
                <w:cantSplit/>
              </w:trPr>
              <w:tc>
                <w:tcPr>
                  <w:tcW w:type="dxa" w:w="1020"/>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第四阶段</w:t>
                  </w:r>
                </w:p>
              </w:tc>
              <w:tc>
                <w:tcPr>
                  <w:tcW w:type="dxa" w:w="3402"/>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冻结方法与正式S2协议，通过后做S3独立源图复核。</w:t>
                  </w:r>
                </w:p>
              </w:tc>
              <w:tc>
                <w:tcPr>
                  <w:tcW w:type="dxa" w:w="345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完成val100×3及必要消融，达标后使用test250；不据test反复调参。</w:t>
                  </w:r>
                </w:p>
              </w:tc>
            </w:tr>
            <w:tr>
              <w:trPr>
                <w:cantSplit/>
              </w:trPr>
              <w:tc>
                <w:tcPr>
                  <w:tcW w:type="dxa" w:w="1020"/>
                  <w:vAlign w:val="center"/>
                  <w:tcMar>
                    <w:top w:w="55" w:type="dxa"/>
                    <w:bottom w:w="55" w:type="dxa"/>
                    <w:left w:w="65" w:type="dxa"/>
                    <w:right w:w="65" w:type="dxa"/>
                  </w:tcMar>
                </w:tcPr>
                <w:p>
                  <w:pPr>
                    <w:spacing w:line="276" w:lineRule="auto" w:after="0" w:before="0"/>
                    <w:snapToGrid w:val="0"/>
                  </w:pPr>
                  <w:r>
                    <w:rPr>
                      <w:rFonts w:ascii="宋体" w:hAnsi="宋体" w:eastAsia="宋体" w:cs="宋体"/>
                      <w:b w:val="0"/>
                      <w:color w:val="000000"/>
                      <w:sz w:val="21"/>
                    </w:rPr>
                    <w:t>第五阶段</w:t>
                  </w:r>
                </w:p>
              </w:tc>
              <w:tc>
                <w:tcPr>
                  <w:tcW w:type="dxa" w:w="3402"/>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S3通过后，逐项扩展10×10及跨数据集实验，完成总结。</w:t>
                  </w:r>
                </w:p>
              </w:tc>
              <w:tc>
                <w:tcPr>
                  <w:tcW w:type="dxa" w:w="3458"/>
                  <w:vAlign w:val="center"/>
                  <w:tcMar>
                    <w:top w:w="55" w:type="dxa"/>
                    <w:bottom w:w="55" w:type="dxa"/>
                    <w:left w:w="65" w:type="dxa"/>
                    <w:right w:w="65" w:type="dxa"/>
                  </w:tcMar>
                </w:tcPr>
                <w:p>
                  <w:pPr>
                    <w:spacing w:line="276" w:lineRule="auto" w:after="0" w:before="0"/>
                    <w:snapToGrid w:val="0"/>
                    <w:jc w:val="center"/>
                  </w:pPr>
                  <w:r>
                    <w:rPr>
                      <w:rFonts w:ascii="宋体" w:hAnsi="宋体" w:eastAsia="宋体" w:cs="宋体"/>
                      <w:b w:val="0"/>
                      <w:color w:val="000000"/>
                      <w:sz w:val="21"/>
                    </w:rPr>
                    <w:t>分别登记预算、清单和基线，保留负结果并交付代码与报告。</w:t>
                  </w:r>
                </w:p>
              </w:tc>
            </w:tr>
          </w:tbl>
          <w:p>
            <w:pPr>
              <w:spacing w:after="0" w:line="40" w:lineRule="exact"/>
              <w:snapToGrid w:val="0"/>
            </w:pPr>
            <w:r>
              <w:rPr>
                <w:rFonts w:ascii="宋体" w:hAnsi="宋体" w:eastAsia="宋体" w:cs="宋体"/>
                <w:b w:val="0"/>
                <w:color w:val="000000"/>
                <w:sz w:val="4"/>
              </w:rPr>
            </w:r>
          </w:p>
          <w:p>
            <w:pPr>
              <w:keepNext w:val="0"/>
              <w:widowControl/>
              <w:snapToGrid w:val="0"/>
              <w:spacing w:before="0" w:after="60" w:line="360" w:lineRule="auto"/>
              <w:ind w:firstLine="480"/>
            </w:pPr>
            <w:r>
              <w:rPr>
                <w:rFonts w:ascii="宋体" w:hAnsi="宋体" w:eastAsia="宋体" w:cs="宋体"/>
                <w:b w:val="0"/>
                <w:color w:val="000000"/>
                <w:sz w:val="24"/>
              </w:rPr>
              <w:t>候选因素保留要求平均SR相对同轮对照至少提高5个百分点、SG不变差，并在至少2/3种子中为正增益。涉及目标信息的方案还应在真实目标相对遮蔽及错误目标的在线评测中体现稳定收益，不能只依赖动作敏感性或训练集准确率。</w:t>
            </w:r>
          </w:p>
          <w:p>
            <w:pPr>
              <w:keepNext w:val="0"/>
              <w:widowControl/>
              <w:snapToGrid w:val="0"/>
              <w:spacing w:before="0" w:after="60" w:line="360" w:lineRule="auto"/>
              <w:ind w:firstLine="480"/>
            </w:pPr>
            <w:r>
              <w:rPr>
                <w:rFonts w:ascii="宋体" w:hAnsi="宋体" w:eastAsia="宋体" w:cs="宋体"/>
                <w:b w:val="0"/>
                <w:color w:val="000000"/>
                <w:sz w:val="24"/>
              </w:rPr>
              <w:t>未达检查点时继续分析和修复，不把实验完成写成方法通过；最终报告呈现问题、改动、对照证据与适用边界。</w:t>
            </w:r>
          </w:p>
          <w:p>
            <w:pPr>
              <w:keepNext w:val="0"/>
              <w:widowControl/>
              <w:snapToGrid w:val="0"/>
              <w:spacing w:before="0" w:after="100" w:line="288" w:lineRule="auto"/>
            </w:pPr>
            <w:r>
              <w:rPr>
                <w:rFonts w:ascii="宋体" w:hAnsi="宋体" w:eastAsia="宋体" w:cs="宋体"/>
                <w:b w:val="0"/>
                <w:color w:val="000000"/>
                <w:sz w:val="21"/>
              </w:rPr>
              <w:t>本报告依据截至2026年9月30日的项目日志、配对汇总及审计记录编制。</w:t>
            </w:r>
          </w:p>
        </w:tc>
      </w:tr>
    </w:tbl>
    <w:p w14:paraId="15A8CE67">
      <w:pPr>
        <w:spacing w:line="20" w:lineRule="exact" w:before="0" w:after="0"/>
        <w:jc w:val="left"/>
        <w:snapToGrid w:val="0"/>
      </w:pPr>
      <w:r>
        <w:rPr>
          <w:rFonts w:ascii="宋体" w:hAnsi="宋体" w:eastAsia="宋体" w:cs="宋体"/>
          <w:b w:val="0"/>
          <w:color w:val="000000"/>
          <w:sz w:val="2"/>
        </w:rPr>
      </w:r>
    </w:p>
    <w:sectPr>
      <w:headerReference r:id="rId3" w:type="default"/>
      <w:footerReference r:id="rId4" w:type="default"/>
      <w:footerReference r:id="rId5" w:type="even"/>
      <w:headerReference w:type="first" r:id="rId10"/>
      <w:footerReference w:type="first" r:id="rId11"/>
      <w:pgSz w:w="11906" w:h="16838"/>
      <w:pgMar w:top="1440" w:right="1797" w:bottom="1440" w:left="1797" w:header="851" w:footer="992" w:gutter="0"/>
      <w:pgNumType w:start="0"/>
      <w:cols w:space="720" w:num="1"/>
      <w:titlePg/>
      <w:docGrid w:type="lines" w:linePitch="39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B0244">
    <w:pPr>
      <w:pStyle w:val="2"/>
      <w:framePr w:wrap="around" w:vAnchor="text" w:hAnchor="margin" w:xAlign="center" w:y="1"/>
      <w:rPr>
        <w:rStyle w:val="7"/>
      </w:rPr>
    </w:pPr>
    <w:r>
      <w:rPr>
        <w:rFonts w:ascii="宋体" w:hAnsi="宋体" w:eastAsia="宋体" w:cs="宋体"/>
        <w:rStyle w:val="7"/>
      </w:rPr>
      <w:fldChar w:fldCharType="begin"/>
    </w:r>
    <w:r>
      <w:rPr>
        <w:rFonts w:ascii="宋体" w:hAnsi="宋体" w:eastAsia="宋体" w:cs="宋体"/>
        <w:rStyle w:val="7"/>
      </w:rPr>
      <w:instrText xml:space="preserve">PAGE  </w:instrText>
    </w:r>
    <w:r>
      <w:rPr>
        <w:rFonts w:ascii="宋体" w:hAnsi="宋体" w:eastAsia="宋体" w:cs="宋体"/>
        <w:rStyle w:val="7"/>
      </w:rPr>
      <w:fldChar w:fldCharType="separate"/>
    </w:r>
    <w:r>
      <w:rPr>
        <w:rFonts w:ascii="宋体" w:hAnsi="宋体" w:eastAsia="宋体" w:cs="宋体"/>
        <w:rStyle w:val="7"/>
        <w:lang/>
      </w:rPr>
      <w:t>2</w:t>
    </w:r>
    <w:r>
      <w:rPr>
        <w:rFonts w:ascii="宋体" w:hAnsi="宋体" w:eastAsia="宋体" w:cs="宋体"/>
        <w:rStyle w:val="7"/>
      </w:rPr>
      <w:fldChar w:fldCharType="end"/>
    </w:r>
  </w:p>
  <w:p w14:paraId="217A6BBE">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E7F4">
    <w:pPr>
      <w:pStyle w:val="2"/>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248E23BC">
    <w:pPr>
      <w:pStyle w:val="2"/>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76967">
    <w:pPr>
      <w:pStyle w:val="3"/>
    </w:pPr>
    <w:r>
      <w:rPr>
        <w:rFonts w:hint="eastAsia" w:ascii="宋体" w:hAnsi="宋体" w:eastAsia="宋体" w:cs="宋体"/>
      </w:rPr>
      <w:t>西安电子科技大学计算机科学与技术学院综合工程设计中期报告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075DA"/>
    <w:rsid w:val="000B40C0"/>
    <w:rsid w:val="00140092"/>
    <w:rsid w:val="00214C44"/>
    <w:rsid w:val="003075DA"/>
    <w:rsid w:val="0037429B"/>
    <w:rsid w:val="00375083"/>
    <w:rsid w:val="003E6D21"/>
    <w:rsid w:val="00505131"/>
    <w:rsid w:val="00576B14"/>
    <w:rsid w:val="005D3C29"/>
    <w:rsid w:val="005F142B"/>
    <w:rsid w:val="007658A5"/>
    <w:rsid w:val="00845111"/>
    <w:rsid w:val="0084532E"/>
    <w:rsid w:val="00867092"/>
    <w:rsid w:val="00892F92"/>
    <w:rsid w:val="008A7338"/>
    <w:rsid w:val="00964734"/>
    <w:rsid w:val="009B68DD"/>
    <w:rsid w:val="00A36BA2"/>
    <w:rsid w:val="00B64371"/>
    <w:rsid w:val="00C216A4"/>
    <w:rsid w:val="00C5165F"/>
    <w:rsid w:val="00D4608F"/>
    <w:rsid w:val="00D950D7"/>
    <w:rsid w:val="00DB63CA"/>
    <w:rsid w:val="00DC4F7D"/>
    <w:rsid w:val="00E178DC"/>
    <w:rsid w:val="00F6047A"/>
    <w:rsid w:val="00F85AC2"/>
    <w:rsid w:val="6AFB36E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uiPriority w:val="0"/>
  </w:style>
  <w:style w:type="character" w:customStyle="1" w:styleId="8">
    <w:name w:val="apple-converted-space"/>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2.xml"/><Relationship Id="rId11"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FWJ\AppData\Local\Kingsoft\WPSOFF~1\1210~1.291\office6\Norm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52</Words>
  <Characters>300</Characters>
  <Lines>2</Lines>
  <Paragraphs>1</Paragraphs>
  <TotalTime>0</TotalTime>
  <ScaleCrop>false</ScaleCrop>
  <LinksUpToDate>false</LinksUpToDate>
  <CharactersWithSpaces>351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2017-09-19T15:17:00Z</dcterms:created>
  <dc:creator/>
  <cp:lastModifiedBy/>
  <dcterms:modified xsi:type="dcterms:W3CDTF">2026-09-29T16:39:55Z</dcterms:modified>
  <dc:title>基于主动探索的视觉地理定位方法设计与实现：中期报告</dc:title>
  <cp:revision>23</cp:revision>
  <dc:subject>综合工程设计中期检查</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BB78B3386E6847FBB3483CA29EFA439F_13</vt:lpwstr>
  </property>
</Properties>
</file>