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14480">
      <w:pPr>
        <w:rPr>
          <w:rFonts w:eastAsia="黑体"/>
          <w:b/>
          <w:color w:val="000000"/>
          <w:sz w:val="44"/>
          <w:szCs w:val="44"/>
        </w:rPr>
      </w:pPr>
      <w:bookmarkStart w:id="0" w:name="_GoBack"/>
      <w:bookmarkEnd w:id="0"/>
      <w:r>
        <w:rPr>
          <w:sz w:val="20"/>
          <w:lang/>
        </w:rPr>
        <w:pict>
          <v:line id="_x0000_s1026" o:spid="_x0000_s1026" o:spt="20" style="position:absolute;left:0pt;margin-left:0pt;margin-top:15.6pt;height:0pt;width:0.05pt;z-index:251659264;mso-width-relative:page;mso-height-relative:page;" coordsize="21600,21600">
            <v:path arrowok="t"/>
            <v:fill focussize="0,0"/>
            <v:stroke/>
            <v:imagedata o:title=""/>
            <o:lock v:ext="edit"/>
          </v:line>
        </w:pict>
      </w:r>
    </w:p>
    <w:p w14:paraId="3C308719">
      <w:pPr>
        <w:jc w:val="center"/>
        <w:rPr>
          <w:rFonts w:eastAsia="黑体"/>
          <w:b/>
          <w:color w:val="000000"/>
          <w:sz w:val="44"/>
          <w:szCs w:val="44"/>
        </w:rPr>
      </w:pPr>
      <w:r>
        <w:rPr>
          <w:rFonts w:eastAsia="黑体"/>
          <w:b/>
          <w:color w:val="000000"/>
          <w:sz w:val="44"/>
          <w:szCs w:val="44"/>
          <w:lang/>
        </w:rPr>
        <w:pict>
          <v:shape id="_x0000_i1025" o:spt="75" alt="西电科大背景透明LOGO-标准" type="#_x0000_t75" style="height:59.3pt;width:317.25pt;" filled="f" stroked="f" coordsize="21600,21600">
            <v:path/>
            <v:fill on="f" focussize="0,0"/>
            <v:stroke on="f"/>
            <v:imagedata r:id="rId5" grayscale="f" bilevel="f" o:title="西电科大背景透明LOGO-标准"/>
            <o:lock v:ext="edit" aspectratio="t"/>
            <w10:wrap type="none"/>
            <w10:anchorlock/>
          </v:shape>
        </w:pict>
      </w:r>
    </w:p>
    <w:p w14:paraId="58F6CE0D">
      <w:pPr>
        <w:jc w:val="center"/>
        <w:rPr>
          <w:rFonts w:eastAsia="黑体"/>
          <w:b/>
          <w:color w:val="000000"/>
          <w:sz w:val="44"/>
          <w:szCs w:val="44"/>
        </w:rPr>
      </w:pPr>
      <w:r>
        <w:rPr>
          <w:rFonts w:hint="eastAsia" w:eastAsia="黑体"/>
          <w:b/>
          <w:color w:val="000000"/>
          <w:sz w:val="44"/>
          <w:szCs w:val="44"/>
        </w:rPr>
        <w:t>计算机科学与技术学院</w:t>
      </w:r>
    </w:p>
    <w:p w14:paraId="55803F0F">
      <w:pPr>
        <w:jc w:val="center"/>
        <w:rPr>
          <w:rFonts w:eastAsia="黑体"/>
          <w:b/>
          <w:color w:val="000000"/>
          <w:sz w:val="44"/>
          <w:szCs w:val="44"/>
        </w:rPr>
      </w:pPr>
    </w:p>
    <w:p w14:paraId="6D0CC2FA">
      <w:pPr>
        <w:jc w:val="center"/>
        <w:rPr>
          <w:rFonts w:hint="eastAsia" w:eastAsia="黑体"/>
          <w:b/>
          <w:color w:val="000000"/>
          <w:sz w:val="44"/>
          <w:szCs w:val="44"/>
        </w:rPr>
      </w:pPr>
    </w:p>
    <w:p w14:paraId="0E7FB2B4">
      <w:pPr>
        <w:spacing w:line="900" w:lineRule="exact"/>
        <w:jc w:val="center"/>
        <w:rPr>
          <w:rFonts w:eastAsia="黑体"/>
          <w:b/>
          <w:sz w:val="44"/>
          <w:szCs w:val="44"/>
        </w:rPr>
      </w:pPr>
      <w:r>
        <w:rPr>
          <w:rFonts w:hint="eastAsia" w:eastAsia="黑体"/>
          <w:b/>
          <w:sz w:val="44"/>
          <w:szCs w:val="44"/>
        </w:rPr>
        <w:t>“大数据智能方向”</w:t>
      </w:r>
      <w:r>
        <w:rPr>
          <w:rFonts w:hint="eastAsia" w:eastAsia="黑体"/>
          <w:b/>
          <w:color w:val="000000"/>
          <w:sz w:val="44"/>
          <w:szCs w:val="44"/>
        </w:rPr>
        <w:t>综合工程设计选题报告</w:t>
      </w:r>
    </w:p>
    <w:p w14:paraId="3C192A65">
      <w:pPr>
        <w:spacing w:line="900" w:lineRule="exact"/>
        <w:ind w:firstLine="1200" w:firstLineChars="400"/>
        <w:rPr>
          <w:rFonts w:eastAsia="仿宋"/>
          <w:color w:val="000000"/>
          <w:sz w:val="30"/>
          <w:szCs w:val="30"/>
        </w:rPr>
      </w:pPr>
    </w:p>
    <w:p w14:paraId="4F1E0EA8">
      <w:pPr>
        <w:spacing w:line="900" w:lineRule="exact"/>
        <w:ind w:firstLine="1200" w:firstLineChars="400"/>
        <w:rPr>
          <w:rFonts w:eastAsia="仿宋"/>
          <w:color w:val="000000"/>
          <w:sz w:val="30"/>
          <w:szCs w:val="30"/>
        </w:rPr>
      </w:pPr>
    </w:p>
    <w:p w14:paraId="24AA94BC">
      <w:pPr>
        <w:spacing w:line="900" w:lineRule="exact"/>
        <w:ind w:firstLine="1200" w:firstLineChars="400"/>
        <w:rPr>
          <w:rFonts w:eastAsia="仿宋"/>
          <w:color w:val="000000"/>
          <w:sz w:val="30"/>
          <w:szCs w:val="30"/>
        </w:rPr>
      </w:pPr>
    </w:p>
    <w:p w14:paraId="5D52D16B">
      <w:pPr>
        <w:spacing w:line="900" w:lineRule="exact"/>
        <w:ind w:firstLine="1200" w:firstLineChars="400"/>
        <w:rPr>
          <w:rFonts w:hint="eastAsia" w:eastAsia="仿宋"/>
          <w:color w:val="000000"/>
          <w:sz w:val="30"/>
          <w:szCs w:val="30"/>
        </w:rPr>
      </w:pPr>
    </w:p>
    <w:p w14:paraId="740A1939">
      <w:pPr>
        <w:spacing w:line="900" w:lineRule="exact"/>
        <w:ind w:firstLine="600"/>
        <w:rPr>
          <w:rFonts w:eastAsia="仿宋"/>
          <w:b/>
          <w:color w:val="000000"/>
          <w:sz w:val="30"/>
          <w:szCs w:val="30"/>
        </w:rPr>
      </w:pPr>
      <w:r>
        <w:rPr>
          <w:rFonts w:hint="eastAsia" w:eastAsia="仿宋"/>
          <w:b/>
          <w:color w:val="000000"/>
          <w:sz w:val="28"/>
          <w:szCs w:val="30"/>
        </w:rPr>
        <w:t>题    目：基于主动探索的视觉地理定位方法设计与实现</w:t>
      </w:r>
    </w:p>
    <w:p w14:paraId="6A8CD831">
      <w:pPr>
        <w:spacing w:line="900" w:lineRule="exact"/>
        <w:ind w:firstLine="1205" w:firstLineChars="400"/>
        <w:rPr>
          <w:rFonts w:eastAsia="仿宋"/>
          <w:b/>
          <w:color w:val="000000"/>
          <w:sz w:val="30"/>
          <w:szCs w:val="30"/>
          <w:u w:val="single"/>
        </w:rPr>
      </w:pPr>
      <w:r>
        <w:rPr>
          <w:rFonts w:hint="eastAsia" w:eastAsia="仿宋"/>
          <w:b/>
          <w:color w:val="000000"/>
          <w:sz w:val="30"/>
          <w:szCs w:val="30"/>
        </w:rPr>
        <w:t>小组人员</w:t>
      </w:r>
      <w:r>
        <w:rPr>
          <w:rFonts w:eastAsia="仿宋"/>
          <w:b/>
          <w:color w:val="000000"/>
          <w:sz w:val="30"/>
          <w:szCs w:val="30"/>
        </w:rPr>
        <w:t>：</w:t>
      </w:r>
      <w:r>
        <w:rPr>
          <w:rFonts w:eastAsia="仿宋"/>
          <w:color w:val="000000"/>
          <w:sz w:val="30"/>
          <w:szCs w:val="30"/>
          <w:u w:val="single"/>
        </w:rPr>
        <w:t xml:space="preserve">         </w:t>
      </w:r>
      <w:r>
        <w:rPr>
          <w:rFonts w:hint="eastAsia" w:eastAsia="仿宋"/>
          <w:color w:val="000000"/>
          <w:sz w:val="30"/>
          <w:szCs w:val="30"/>
          <w:u w:val="single"/>
        </w:rPr>
        <w:t xml:space="preserve">      </w:t>
      </w:r>
      <w:r>
        <w:rPr>
          <w:rFonts w:eastAsia="仿宋"/>
          <w:color w:val="000000"/>
          <w:sz w:val="30"/>
          <w:szCs w:val="30"/>
          <w:u w:val="single"/>
        </w:rPr>
        <w:t xml:space="preserve">     </w:t>
      </w:r>
      <w:r>
        <w:rPr>
          <w:rFonts w:hint="eastAsia" w:eastAsia="仿宋"/>
          <w:color w:val="000000"/>
          <w:sz w:val="30"/>
          <w:szCs w:val="30"/>
          <w:u w:val="single"/>
        </w:rPr>
        <w:t xml:space="preserve">  </w:t>
      </w:r>
      <w:r>
        <w:rPr>
          <w:rFonts w:eastAsia="仿宋"/>
          <w:color w:val="000000"/>
          <w:sz w:val="30"/>
          <w:szCs w:val="30"/>
          <w:u w:val="single"/>
        </w:rPr>
        <w:t xml:space="preserve">           </w:t>
      </w:r>
    </w:p>
    <w:p w14:paraId="6D6CD463">
      <w:pPr>
        <w:spacing w:line="900" w:lineRule="exact"/>
        <w:ind w:firstLine="1205" w:firstLineChars="400"/>
        <w:rPr>
          <w:rFonts w:eastAsia="仿宋"/>
          <w:b/>
          <w:color w:val="000000"/>
          <w:sz w:val="30"/>
          <w:szCs w:val="30"/>
          <w:u w:val="single"/>
        </w:rPr>
      </w:pPr>
      <w:r>
        <w:rPr>
          <w:rFonts w:eastAsia="仿宋"/>
          <w:b/>
          <w:color w:val="000000"/>
          <w:sz w:val="30"/>
          <w:szCs w:val="30"/>
        </w:rPr>
        <w:t>指导老师：</w:t>
      </w:r>
      <w:r>
        <w:rPr>
          <w:rFonts w:hint="eastAsia" w:eastAsia="仿宋"/>
          <w:b/>
          <w:color w:val="000000"/>
          <w:sz w:val="30"/>
          <w:szCs w:val="30"/>
        </w:rPr>
        <w:t xml:space="preserve"> </w:t>
      </w:r>
      <w:r>
        <w:rPr>
          <w:rFonts w:eastAsia="仿宋"/>
          <w:color w:val="000000"/>
          <w:sz w:val="30"/>
          <w:szCs w:val="30"/>
          <w:u w:val="single"/>
        </w:rPr>
        <w:t xml:space="preserve">      </w:t>
      </w:r>
      <w:r>
        <w:rPr>
          <w:rFonts w:hint="eastAsia" w:eastAsia="仿宋"/>
          <w:color w:val="000000"/>
          <w:sz w:val="30"/>
          <w:szCs w:val="30"/>
          <w:u w:val="single"/>
        </w:rPr>
        <w:t xml:space="preserve">                 </w:t>
      </w:r>
      <w:r>
        <w:rPr>
          <w:rFonts w:eastAsia="仿宋"/>
          <w:color w:val="000000"/>
          <w:sz w:val="30"/>
          <w:szCs w:val="30"/>
          <w:u w:val="single"/>
        </w:rPr>
        <w:t xml:space="preserve">    </w:t>
      </w:r>
      <w:r>
        <w:rPr>
          <w:rFonts w:hint="eastAsia" w:eastAsia="仿宋"/>
          <w:color w:val="000000"/>
          <w:sz w:val="30"/>
          <w:szCs w:val="30"/>
          <w:u w:val="single"/>
        </w:rPr>
        <w:t xml:space="preserve">     </w:t>
      </w:r>
    </w:p>
    <w:p w14:paraId="1C76267D">
      <w:pPr>
        <w:spacing w:line="900" w:lineRule="exact"/>
        <w:ind w:firstLine="1205" w:firstLineChars="400"/>
        <w:rPr>
          <w:rFonts w:eastAsia="仿宋"/>
          <w:b/>
          <w:color w:val="000000"/>
          <w:sz w:val="30"/>
          <w:szCs w:val="30"/>
        </w:rPr>
      </w:pPr>
      <w:r>
        <w:rPr>
          <w:rFonts w:hint="eastAsia" w:eastAsia="仿宋"/>
          <w:b/>
          <w:color w:val="000000"/>
          <w:sz w:val="30"/>
          <w:szCs w:val="30"/>
        </w:rPr>
        <w:t>填写时间：2026 年 9 月</w:t>
      </w:r>
    </w:p>
    <w:p w14:paraId="0CE55179">
      <w:pPr>
        <w:ind w:firstLine="1807" w:firstLineChars="600"/>
        <w:rPr>
          <w:rFonts w:eastAsia="仿宋"/>
          <w:b/>
          <w:color w:val="000000"/>
          <w:sz w:val="30"/>
          <w:szCs w:val="30"/>
          <w:u w:val="single"/>
        </w:rPr>
      </w:pPr>
    </w:p>
    <w:p w14:paraId="007FD557">
      <w:pPr>
        <w:jc w:val="center"/>
        <w:rPr>
          <w:rFonts w:eastAsia="仿宋"/>
          <w:b/>
          <w:color w:val="000000"/>
          <w:sz w:val="30"/>
          <w:szCs w:val="30"/>
        </w:rPr>
      </w:pPr>
    </w:p>
    <w:p w14:paraId="223B8B4A">
      <w:pPr>
        <w:jc w:val="center"/>
        <w:rPr>
          <w:rFonts w:eastAsia="仿宋"/>
          <w:b/>
          <w:color w:val="000000"/>
          <w:sz w:val="30"/>
          <w:szCs w:val="30"/>
        </w:rPr>
      </w:pPr>
    </w:p>
    <w:tbl>
      <w:tblPr>
        <w:tblStyle w:val="4"/>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63"/>
        <w:gridCol w:w="1530"/>
        <w:gridCol w:w="1134"/>
        <w:gridCol w:w="3969"/>
      </w:tblGrid>
      <w:tr w14:paraId="36E2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2264" w:type="dxa"/>
            <w:gridSpan w:val="2"/>
            <w:noWrap w:val="0"/>
            <w:vAlign w:val="center"/>
          </w:tcPr>
          <w:p w14:paraId="03651F84">
            <w:pPr>
              <w:jc w:val="center"/>
            </w:pPr>
            <w:r>
              <w:br w:type="page"/>
            </w:r>
            <w:r>
              <w:rPr>
                <w:rFonts w:hint="eastAsia"/>
              </w:rPr>
              <w:t>综合</w:t>
            </w:r>
            <w:r>
              <w:t>工程</w:t>
            </w:r>
            <w:r>
              <w:rPr>
                <w:rFonts w:hint="eastAsia"/>
              </w:rPr>
              <w:t>设计题目</w:t>
            </w:r>
          </w:p>
        </w:tc>
        <w:tc>
          <w:tcPr>
            <w:tcW w:w="6633" w:type="dxa"/>
            <w:gridSpan w:val="3"/>
            <w:noWrap w:val="0"/>
            <w:vAlign w:val="center"/>
          </w:tcPr>
          <w:p w14:paraId="5E61BA43">
            <w:pPr>
              <w:jc w:val="center"/>
              <w:rPr>
                <w:b/>
              </w:rPr>
            </w:pPr>
            <w:r>
              <w:t>基于主动探索的视觉地理定位方法设计与实现</w:t>
            </w:r>
          </w:p>
        </w:tc>
      </w:tr>
      <w:tr w14:paraId="0CECB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35" w:hRule="atLeast"/>
        </w:trPr>
        <w:tc>
          <w:tcPr>
            <w:tcW w:w="1101" w:type="dxa"/>
            <w:vMerge w:val="restart"/>
            <w:noWrap w:val="0"/>
            <w:textDirection w:val="tbRlV"/>
            <w:vAlign w:val="center"/>
          </w:tcPr>
          <w:p w14:paraId="7F86CB6F">
            <w:pPr>
              <w:ind w:left="113" w:right="113"/>
              <w:jc w:val="center"/>
            </w:pPr>
            <w:r>
              <w:t>申请人(</w:t>
            </w:r>
            <w:r>
              <w:rPr>
                <w:rFonts w:hint="eastAsia"/>
              </w:rPr>
              <w:t>小组</w:t>
            </w:r>
            <w:r>
              <w:t>)</w:t>
            </w:r>
          </w:p>
        </w:tc>
        <w:tc>
          <w:tcPr>
            <w:tcW w:w="1163" w:type="dxa"/>
            <w:noWrap w:val="0"/>
            <w:vAlign w:val="center"/>
          </w:tcPr>
          <w:p w14:paraId="34103B91">
            <w:pPr>
              <w:adjustRightInd w:val="0"/>
              <w:snapToGrid w:val="0"/>
              <w:jc w:val="center"/>
            </w:pPr>
            <w:r>
              <w:t>姓名</w:t>
            </w:r>
          </w:p>
        </w:tc>
        <w:tc>
          <w:tcPr>
            <w:tcW w:w="2664" w:type="dxa"/>
            <w:gridSpan w:val="2"/>
            <w:noWrap w:val="0"/>
            <w:vAlign w:val="center"/>
          </w:tcPr>
          <w:p w14:paraId="62C3EA96">
            <w:pPr>
              <w:adjustRightInd w:val="0"/>
              <w:snapToGrid w:val="0"/>
              <w:jc w:val="center"/>
            </w:pPr>
            <w:r>
              <w:rPr>
                <w:rFonts w:hint="eastAsia"/>
              </w:rPr>
              <w:t>学号</w:t>
            </w:r>
          </w:p>
        </w:tc>
        <w:tc>
          <w:tcPr>
            <w:tcW w:w="3969" w:type="dxa"/>
            <w:noWrap w:val="0"/>
            <w:vAlign w:val="center"/>
          </w:tcPr>
          <w:p w14:paraId="5185E0C2">
            <w:pPr>
              <w:adjustRightInd w:val="0"/>
              <w:snapToGrid w:val="0"/>
              <w:jc w:val="center"/>
            </w:pPr>
            <w:r>
              <w:rPr>
                <w:rFonts w:hint="eastAsia"/>
              </w:rPr>
              <w:t>联系方式</w:t>
            </w:r>
          </w:p>
        </w:tc>
      </w:tr>
      <w:tr w14:paraId="05B9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35" w:hRule="atLeast"/>
        </w:trPr>
        <w:tc>
          <w:tcPr>
            <w:tcW w:w="1101" w:type="dxa"/>
            <w:vMerge w:val="continue"/>
            <w:noWrap w:val="0"/>
            <w:textDirection w:val="tbRlV"/>
            <w:vAlign w:val="top"/>
          </w:tcPr>
          <w:p w14:paraId="2EC323EB">
            <w:pPr>
              <w:ind w:left="113" w:right="113"/>
              <w:jc w:val="center"/>
            </w:pPr>
          </w:p>
        </w:tc>
        <w:tc>
          <w:tcPr>
            <w:tcW w:w="1163" w:type="dxa"/>
            <w:tcBorders>
              <w:bottom w:val="single" w:color="auto" w:sz="4" w:space="0"/>
            </w:tcBorders>
            <w:noWrap w:val="0"/>
            <w:vAlign w:val="center"/>
          </w:tcPr>
          <w:p w14:paraId="6BB9F467">
            <w:pPr>
              <w:jc w:val="center"/>
              <w:rPr>
                <w:szCs w:val="21"/>
              </w:rPr>
            </w:pPr>
          </w:p>
        </w:tc>
        <w:tc>
          <w:tcPr>
            <w:tcW w:w="2664" w:type="dxa"/>
            <w:gridSpan w:val="2"/>
            <w:tcBorders>
              <w:top w:val="nil"/>
              <w:bottom w:val="single" w:color="auto" w:sz="4" w:space="0"/>
            </w:tcBorders>
            <w:noWrap w:val="0"/>
            <w:vAlign w:val="center"/>
          </w:tcPr>
          <w:p w14:paraId="5513C84D">
            <w:pPr>
              <w:jc w:val="center"/>
              <w:rPr>
                <w:szCs w:val="21"/>
              </w:rPr>
            </w:pPr>
          </w:p>
        </w:tc>
        <w:tc>
          <w:tcPr>
            <w:tcW w:w="3969" w:type="dxa"/>
            <w:tcBorders>
              <w:bottom w:val="single" w:color="auto" w:sz="4" w:space="0"/>
            </w:tcBorders>
            <w:noWrap w:val="0"/>
            <w:vAlign w:val="center"/>
          </w:tcPr>
          <w:p w14:paraId="2E690783">
            <w:pPr>
              <w:jc w:val="center"/>
              <w:rPr>
                <w:szCs w:val="21"/>
              </w:rPr>
            </w:pPr>
          </w:p>
        </w:tc>
      </w:tr>
      <w:tr w14:paraId="4654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35" w:hRule="atLeast"/>
        </w:trPr>
        <w:tc>
          <w:tcPr>
            <w:tcW w:w="1101" w:type="dxa"/>
            <w:vMerge w:val="continue"/>
            <w:noWrap w:val="0"/>
            <w:textDirection w:val="tbRlV"/>
            <w:vAlign w:val="top"/>
          </w:tcPr>
          <w:p w14:paraId="22C7E28A">
            <w:pPr>
              <w:ind w:left="113" w:right="113"/>
              <w:jc w:val="center"/>
            </w:pPr>
          </w:p>
        </w:tc>
        <w:tc>
          <w:tcPr>
            <w:tcW w:w="1163" w:type="dxa"/>
            <w:tcBorders>
              <w:top w:val="single" w:color="auto" w:sz="4" w:space="0"/>
              <w:bottom w:val="single" w:color="auto" w:sz="4" w:space="0"/>
            </w:tcBorders>
            <w:noWrap w:val="0"/>
            <w:vAlign w:val="center"/>
          </w:tcPr>
          <w:p w14:paraId="27F9806E">
            <w:pPr>
              <w:jc w:val="center"/>
              <w:rPr>
                <w:szCs w:val="21"/>
              </w:rPr>
            </w:pPr>
          </w:p>
        </w:tc>
        <w:tc>
          <w:tcPr>
            <w:tcW w:w="2664" w:type="dxa"/>
            <w:gridSpan w:val="2"/>
            <w:tcBorders>
              <w:top w:val="single" w:color="auto" w:sz="4" w:space="0"/>
              <w:bottom w:val="single" w:color="auto" w:sz="4" w:space="0"/>
            </w:tcBorders>
            <w:noWrap w:val="0"/>
            <w:vAlign w:val="center"/>
          </w:tcPr>
          <w:p w14:paraId="31BA806E">
            <w:pPr>
              <w:jc w:val="center"/>
              <w:rPr>
                <w:szCs w:val="21"/>
              </w:rPr>
            </w:pPr>
          </w:p>
        </w:tc>
        <w:tc>
          <w:tcPr>
            <w:tcW w:w="3969" w:type="dxa"/>
            <w:tcBorders>
              <w:top w:val="single" w:color="auto" w:sz="4" w:space="0"/>
              <w:bottom w:val="single" w:color="auto" w:sz="4" w:space="0"/>
            </w:tcBorders>
            <w:noWrap w:val="0"/>
            <w:vAlign w:val="center"/>
          </w:tcPr>
          <w:p w14:paraId="0EFB216C">
            <w:pPr>
              <w:jc w:val="center"/>
              <w:rPr>
                <w:szCs w:val="21"/>
              </w:rPr>
            </w:pPr>
          </w:p>
        </w:tc>
      </w:tr>
      <w:tr w14:paraId="2A36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35" w:hRule="atLeast"/>
        </w:trPr>
        <w:tc>
          <w:tcPr>
            <w:tcW w:w="1101" w:type="dxa"/>
            <w:vMerge w:val="continue"/>
            <w:noWrap w:val="0"/>
            <w:textDirection w:val="tbRlV"/>
            <w:vAlign w:val="top"/>
          </w:tcPr>
          <w:p w14:paraId="12522445">
            <w:pPr>
              <w:ind w:left="113" w:right="113"/>
              <w:jc w:val="center"/>
            </w:pPr>
          </w:p>
        </w:tc>
        <w:tc>
          <w:tcPr>
            <w:tcW w:w="1163" w:type="dxa"/>
            <w:tcBorders>
              <w:top w:val="single" w:color="auto" w:sz="4" w:space="0"/>
              <w:bottom w:val="single" w:color="auto" w:sz="4" w:space="0"/>
            </w:tcBorders>
            <w:noWrap w:val="0"/>
            <w:vAlign w:val="center"/>
          </w:tcPr>
          <w:p w14:paraId="3E0B0FCF">
            <w:pPr>
              <w:jc w:val="center"/>
              <w:rPr>
                <w:szCs w:val="21"/>
              </w:rPr>
            </w:pPr>
          </w:p>
        </w:tc>
        <w:tc>
          <w:tcPr>
            <w:tcW w:w="2664" w:type="dxa"/>
            <w:gridSpan w:val="2"/>
            <w:tcBorders>
              <w:top w:val="single" w:color="auto" w:sz="4" w:space="0"/>
              <w:bottom w:val="single" w:color="auto" w:sz="4" w:space="0"/>
            </w:tcBorders>
            <w:noWrap w:val="0"/>
            <w:vAlign w:val="center"/>
          </w:tcPr>
          <w:p w14:paraId="0B3B10BD">
            <w:pPr>
              <w:jc w:val="center"/>
              <w:rPr>
                <w:szCs w:val="21"/>
              </w:rPr>
            </w:pPr>
          </w:p>
        </w:tc>
        <w:tc>
          <w:tcPr>
            <w:tcW w:w="3969" w:type="dxa"/>
            <w:tcBorders>
              <w:top w:val="single" w:color="auto" w:sz="4" w:space="0"/>
              <w:bottom w:val="single" w:color="auto" w:sz="4" w:space="0"/>
            </w:tcBorders>
            <w:noWrap w:val="0"/>
            <w:vAlign w:val="center"/>
          </w:tcPr>
          <w:p w14:paraId="1DC1C987">
            <w:pPr>
              <w:jc w:val="center"/>
              <w:rPr>
                <w:szCs w:val="21"/>
              </w:rPr>
            </w:pPr>
          </w:p>
        </w:tc>
      </w:tr>
      <w:tr w14:paraId="7DE1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35" w:hRule="atLeast"/>
        </w:trPr>
        <w:tc>
          <w:tcPr>
            <w:tcW w:w="1101" w:type="dxa"/>
            <w:noWrap w:val="0"/>
            <w:vAlign w:val="center"/>
          </w:tcPr>
          <w:p w14:paraId="2D7F8528">
            <w:pPr>
              <w:jc w:val="center"/>
              <w:rPr>
                <w:rFonts w:hint="eastAsia"/>
              </w:rPr>
            </w:pPr>
            <w:r>
              <w:rPr>
                <w:rFonts w:hint="eastAsia"/>
              </w:rPr>
              <w:t>指导</w:t>
            </w:r>
            <w:r>
              <w:t>教师</w:t>
            </w:r>
          </w:p>
        </w:tc>
        <w:tc>
          <w:tcPr>
            <w:tcW w:w="1163" w:type="dxa"/>
            <w:tcBorders>
              <w:top w:val="single" w:color="auto" w:sz="4" w:space="0"/>
              <w:bottom w:val="single" w:color="auto" w:sz="4" w:space="0"/>
            </w:tcBorders>
            <w:noWrap w:val="0"/>
            <w:vAlign w:val="center"/>
          </w:tcPr>
          <w:p w14:paraId="7BD66A7B">
            <w:pPr>
              <w:jc w:val="center"/>
            </w:pPr>
            <w:r>
              <w:t>姓名</w:t>
            </w:r>
          </w:p>
        </w:tc>
        <w:tc>
          <w:tcPr>
            <w:tcW w:w="1530" w:type="dxa"/>
            <w:tcBorders>
              <w:top w:val="single" w:color="auto" w:sz="4" w:space="0"/>
              <w:bottom w:val="single" w:color="auto" w:sz="4" w:space="0"/>
            </w:tcBorders>
            <w:noWrap w:val="0"/>
            <w:vAlign w:val="center"/>
          </w:tcPr>
          <w:p w14:paraId="03EEFB8F">
            <w:pPr>
              <w:jc w:val="center"/>
            </w:pPr>
          </w:p>
        </w:tc>
        <w:tc>
          <w:tcPr>
            <w:tcW w:w="1134" w:type="dxa"/>
            <w:noWrap w:val="0"/>
            <w:vAlign w:val="center"/>
          </w:tcPr>
          <w:p w14:paraId="5C5AAFEB">
            <w:pPr>
              <w:rPr>
                <w:rFonts w:hint="eastAsia"/>
              </w:rPr>
            </w:pPr>
            <w:r>
              <w:rPr>
                <w:rFonts w:hint="eastAsia"/>
              </w:rPr>
              <w:t>联系方式</w:t>
            </w:r>
          </w:p>
        </w:tc>
        <w:tc>
          <w:tcPr>
            <w:tcW w:w="3969" w:type="dxa"/>
            <w:noWrap w:val="0"/>
            <w:vAlign w:val="center"/>
          </w:tcPr>
          <w:p w14:paraId="22CDD8CE">
            <w:pPr>
              <w:jc w:val="center"/>
            </w:pPr>
          </w:p>
        </w:tc>
      </w:tr>
      <w:tr w14:paraId="0340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668" w:hRule="atLeast"/>
        </w:trPr>
        <w:tc>
          <w:tcPr>
            <w:tcW w:w="8897" w:type="dxa"/>
            <w:gridSpan w:val="5"/>
            <w:noWrap w:val="0"/>
            <w:vAlign w:val="top"/>
          </w:tcPr>
          <w:p w14:paraId="61F68014">
            <w:pPr>
              <w:spacing w:before="156" w:beforeLines="50"/>
              <w:rPr>
                <w:color w:val="000000"/>
                <w:kern w:val="0"/>
                <w:szCs w:val="21"/>
              </w:rPr>
            </w:pPr>
            <w:r>
              <w:rPr>
                <w:b/>
              </w:rPr>
              <w:t>一、项目组成员情况介绍</w:t>
            </w:r>
            <w:r>
              <w:t>（</w:t>
            </w:r>
            <w:r>
              <w:rPr>
                <w:rFonts w:hAnsi="宋体"/>
                <w:color w:val="000000"/>
                <w:kern w:val="0"/>
                <w:szCs w:val="21"/>
              </w:rPr>
              <w:t>包括自身具备的知识条件，有何特长、兴趣，参加哪些科技事件创新活动等）</w:t>
            </w:r>
          </w:p>
          <w:p>
            <w:pPr>
              <w:spacing w:line="312" w:lineRule="auto" w:before="0" w:after="0"/>
              <w:ind w:firstLine="480"/>
            </w:pPr>
            <w:r>
              <w:rPr>
                <w:rFonts w:ascii="Times New Roman" w:hAnsi="Times New Roman" w:eastAsia="宋体"/>
                <w:b w:val="0"/>
                <w:sz w:val="24"/>
              </w:rPr>
              <w:t>本课题由三名大四学生组成的小组承担（计算机科学与技术学院，大数据智能方向）；成员姓名、学号与联系方式见封面登记表，成员分工见“成员分工情况”栏。</w:t>
            </w:r>
          </w:p>
          <w:p>
            <w:pPr>
              <w:spacing w:line="312" w:lineRule="auto" w:before="0" w:after="0"/>
              <w:ind w:firstLine="480"/>
            </w:pPr>
            <w:r>
              <w:rPr>
                <w:rFonts w:ascii="Times New Roman" w:hAnsi="Times New Roman" w:eastAsia="宋体"/>
                <w:b w:val="0"/>
                <w:sz w:val="24"/>
              </w:rPr>
              <w:t>知识条件：具备机器学习、计算机视觉、算法设计与分析等课程基础，熟悉 Python 编程与深度学习框架 PyTorch，了解大语言模型与视觉语言模型的 API 调用与提示工程方法；已共同精读 GOMAA-Geo、GeoExplorer 与 DynCur-Geo 三篇主动地理定位核心论文，掌握该任务的问题定义、统一评测协议（SR/SG）与现有方法的基本工作方式；已复现主动地理定位数据处理流程并完成实验平台的初步搭建。</w:t>
            </w:r>
          </w:p>
          <w:p>
            <w:pPr>
              <w:spacing w:line="312" w:lineRule="auto" w:before="0" w:after="0"/>
              <w:ind w:firstLine="480"/>
            </w:pPr>
            <w:r>
              <w:rPr>
                <w:rFonts w:ascii="Times New Roman" w:hAnsi="Times New Roman" w:eastAsia="宋体"/>
                <w:b w:val="0"/>
                <w:sz w:val="24"/>
              </w:rPr>
              <w:t>特长与兴趣：小组对视觉语言模型应用、智能体（Agent）系统设计与强化学习方向有浓厚兴趣，具备从数据管线、环境接口到评测脚本的工程实现能力，能够在零训练约束下组织实验与消融分析。</w:t>
            </w:r>
          </w:p>
          <w:p>
            <w:pPr>
              <w:spacing w:line="312" w:lineRule="auto" w:before="0" w:after="0"/>
              <w:ind w:firstLine="480"/>
            </w:pPr>
            <w:r>
              <w:rPr>
                <w:rFonts w:ascii="Times New Roman" w:hAnsi="Times New Roman" w:eastAsia="宋体"/>
                <w:b w:val="0"/>
                <w:sz w:val="24"/>
              </w:rPr>
              <w:t>科技活动：围绕本课题开展每周组会研讨与论文精读，按教学日历分阶段推进平台建设、机制实验与系统评测；相关分工与里程碑见表3与成员分工表。</w:t>
            </w:r>
          </w:p>
        </w:tc>
      </w:tr>
      <w:tr w14:paraId="0BA7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446" w:hRule="atLeast"/>
        </w:trPr>
        <w:tc>
          <w:tcPr>
            <w:tcW w:w="8897" w:type="dxa"/>
            <w:gridSpan w:val="5"/>
            <w:noWrap w:val="0"/>
            <w:vAlign w:val="top"/>
          </w:tcPr>
          <w:p w14:paraId="473621CD">
            <w:pPr>
              <w:spacing w:before="156" w:beforeLines="50"/>
              <w:rPr>
                <w:bCs/>
                <w:sz w:val="24"/>
              </w:rPr>
            </w:pPr>
            <w:r>
              <w:rPr>
                <w:b/>
              </w:rPr>
              <w:t>二、</w:t>
            </w:r>
            <w:r>
              <w:rPr>
                <w:rFonts w:hint="eastAsia"/>
                <w:b/>
              </w:rPr>
              <w:t>任务与要求</w:t>
            </w:r>
          </w:p>
          <w:p>
            <w:pPr>
              <w:spacing w:line="312" w:lineRule="auto" w:before="0" w:after="0"/>
              <w:ind w:firstLine="480"/>
            </w:pPr>
            <w:r>
              <w:rPr>
                <w:rFonts w:ascii="Times New Roman" w:hAnsi="Times New Roman" w:eastAsia="宋体"/>
                <w:b w:val="0"/>
                <w:sz w:val="24"/>
              </w:rPr>
              <w:t>在地震搜救、灾后应急巡检、边境监测等任务中，无人机经常需要在导航与通信设施受损或不可用的未知大范围区域执行搜索任务。此时机载卫星定位可能失效或不可信，无人机只能依靠自身携带的相机，通过分析连续获取的航拍画面推断自身或目标所处的地理位置，这一任务被称为视觉地理定位（Visual Geo-localization）。它是构建不依赖卫星导航的自主导航能力的核心环节，在应急救援等领域具有重要应用价值。</w:t>
            </w:r>
          </w:p>
          <w:p>
            <w:pPr>
              <w:spacing w:line="312" w:lineRule="auto" w:before="0" w:after="0"/>
              <w:ind w:firstLine="480"/>
            </w:pPr>
            <w:r>
              <w:rPr>
                <w:rFonts w:ascii="Times New Roman" w:hAnsi="Times New Roman" w:eastAsia="宋体"/>
                <w:b w:val="0"/>
                <w:sz w:val="24"/>
              </w:rPr>
              <w:t>传统视觉地理定位常采用被动式单次预测：给定查询图像，通过检索、分类或回归输出位置估计。单张图像的信息与参考图库覆盖可能限制定位效果；这类设置本身不包含主动移动获取新观测的决策闭环，并不意味着所有被动方法都不可迭代修正。对于具备机动能力的无人机，主动获取后续观测是值得研究的补充途径。</w:t>
            </w:r>
          </w:p>
          <w:p>
            <w:pPr>
              <w:spacing w:line="312" w:lineRule="auto" w:before="0" w:after="0"/>
              <w:ind w:firstLine="480"/>
            </w:pPr>
            <w:r>
              <w:rPr>
                <w:rFonts w:ascii="Times New Roman" w:hAnsi="Times New Roman" w:eastAsia="宋体"/>
                <w:b w:val="0"/>
                <w:sz w:val="24"/>
              </w:rPr>
              <w:t>主动地理定位（Active Geo-localization, AGL）将目标定位建模为序列决策：智能体依据目标线索与逐步获得的局部航拍观测，在步数预算内搜索目标。GOMAA-Geo[1]通过目标感知监督预训练与PPO强化学习构建单策略智能体，其零样本能力指训练后的跨模态、跨域迁移，并非零训练；GeoExplorer[2]在动作—状态动力学建模基础上引入好奇心奖励训练策略。DynCur-Geo[3]进一步研究训练阶段的动态好奇心奖励塑形。</w:t>
            </w:r>
          </w:p>
          <w:p>
            <w:pPr>
              <w:spacing w:line="312" w:lineRule="auto" w:before="0" w:after="0"/>
              <w:ind w:firstLine="480"/>
            </w:pPr>
            <w:r>
              <w:rPr>
                <w:rFonts w:ascii="Times New Roman" w:hAnsi="Times New Roman" w:eastAsia="宋体"/>
                <w:b w:val="0"/>
                <w:sz w:val="24"/>
              </w:rPr>
              <w:t>本课题面向这一方向，拟设计主动视觉地理定位方法及实验平台：应用层面，以无人机搜救为背景研究局部观测下的目标搜索，不将网格仿真等同于实机导航验证；研究层面，考察较大搜索空间中的重复访问、绕行与收敛问题；培养层面，覆盖环境建模、智能体设计、大模型应用与实验评测，在算法和工程两个层面形成可检验成果。</w:t>
            </w:r>
          </w:p>
          <w:p>
            <w:pPr>
              <w:keepNext/>
              <w:spacing w:before="160" w:after="0" w:line="312" w:lineRule="auto"/>
            </w:pPr>
            <w:r>
              <w:rPr>
                <w:rFonts w:ascii="Times New Roman" w:hAnsi="Times New Roman" w:eastAsia="黑体"/>
                <w:b/>
                <w:sz w:val="24"/>
              </w:rPr>
              <w:t>任务：</w:t>
            </w:r>
          </w:p>
          <w:p>
            <w:pPr>
              <w:spacing w:line="312" w:lineRule="auto" w:before="0" w:after="0"/>
              <w:ind w:firstLine="480"/>
            </w:pPr>
            <w:r>
              <w:rPr>
                <w:rFonts w:ascii="Times New Roman" w:hAnsi="Times New Roman" w:eastAsia="宋体"/>
                <w:b w:val="0"/>
                <w:sz w:val="24"/>
              </w:rPr>
              <w:t>总体目标：构建局部观测下的主动地理定位实验平台，自主设计零训练的多智能体记忆与层级搜索方法，检验其能否改善定位表现并减少无效探索。这里“零训练”指不进行本课题任务相关的参数训练或微调，不否认基础模型已有预训练。研究目标与创新点均为待验证假设，允许得到不支持假设的结果。具体目标如下：</w:t>
            </w:r>
          </w:p>
          <w:p>
            <w:pPr>
              <w:spacing w:line="312" w:lineRule="auto" w:before="0" w:after="0"/>
              <w:ind w:firstLine="480"/>
            </w:pPr>
            <w:r>
              <w:rPr>
                <w:rFonts w:ascii="Times New Roman" w:hAnsi="Times New Roman" w:eastAsia="宋体"/>
                <w:b w:val="0"/>
                <w:sz w:val="24"/>
              </w:rPr>
              <w:t>平台目标：支持多模态线索、5×5至25×25可配置网格、预算B与初始距离C；记录覆盖范围、单格视野和分辨率，提供SR/SG及轨迹分析，并严格隔离智能体观测与评测真值；</w:t>
            </w:r>
          </w:p>
          <w:p>
            <w:pPr>
              <w:spacing w:line="312" w:lineRule="auto" w:before="0" w:after="0"/>
              <w:ind w:firstLine="480"/>
            </w:pPr>
            <w:r>
              <w:rPr>
                <w:rFonts w:ascii="Times New Roman" w:hAnsi="Times New Roman" w:eastAsia="宋体"/>
                <w:b w:val="0"/>
                <w:sz w:val="24"/>
              </w:rPr>
              <w:t>方法目标：自主设计感知、记忆与决策协调的多智能体基础框架，研究“少走回头路”的episode内记忆与“少走弯路”的层级搜索；GOMAA-Geo作为训练式对照，而非被复现的多智能体原型；</w:t>
            </w:r>
          </w:p>
          <w:p>
            <w:pPr>
              <w:spacing w:line="312" w:lineRule="auto" w:before="0" w:after="0"/>
              <w:ind w:firstLine="480"/>
            </w:pPr>
            <w:r>
              <w:rPr>
                <w:rFonts w:ascii="Times New Roman" w:hAnsi="Times New Roman" w:eastAsia="宋体"/>
                <w:b w:val="0"/>
                <w:sz w:val="24"/>
              </w:rPr>
              <w:t>实验目标：在冻结的本地测试任务上对比Random、受限观测贪心、单智能体及无记忆/无层级搜索消融；训练式基线仅在复现条件与协议对齐后加入。检验大网格SR提高5个百分点、重复访问率相对降低30%的探索性目标，报告不确定性与失败案例，不将其作为已达成结论或必达承诺；</w:t>
            </w:r>
          </w:p>
          <w:p>
            <w:pPr>
              <w:spacing w:line="312" w:lineRule="auto" w:before="0" w:after="0"/>
              <w:ind w:firstLine="480"/>
            </w:pPr>
            <w:r>
              <w:rPr>
                <w:rFonts w:ascii="Times New Roman" w:hAnsi="Times New Roman" w:eastAsia="宋体"/>
                <w:b w:val="0"/>
                <w:sz w:val="24"/>
              </w:rPr>
              <w:t>成果目标：交付可运行的实验平台与方法代码、完整的对比与消融实验分析，以及课程设计报告。</w:t>
            </w:r>
          </w:p>
          <w:p>
            <w:pPr>
              <w:keepNext/>
              <w:spacing w:before="160" w:after="0" w:line="312" w:lineRule="auto"/>
            </w:pPr>
            <w:r>
              <w:rPr>
                <w:rFonts w:ascii="Times New Roman" w:hAnsi="Times New Roman" w:eastAsia="黑体"/>
                <w:b/>
                <w:sz w:val="24"/>
              </w:rPr>
              <w:t>要求：</w:t>
            </w:r>
          </w:p>
          <w:p>
            <w:pPr>
              <w:spacing w:line="312" w:lineRule="auto" w:before="0" w:after="0"/>
              <w:ind w:firstLine="480"/>
            </w:pPr>
            <w:r>
              <w:rPr>
                <w:rFonts w:ascii="Times New Roman" w:hAnsi="Times New Roman" w:eastAsia="宋体"/>
                <w:b w:val="0"/>
                <w:sz w:val="24"/>
              </w:rPr>
              <w:t>（1）这里“零训练”指不进行本课题任务相关的参数训练或微调，不否认基础模型已有预训练。</w:t>
            </w:r>
          </w:p>
          <w:p>
            <w:pPr>
              <w:spacing w:line="312" w:lineRule="auto" w:before="0" w:after="0"/>
              <w:ind w:firstLine="480"/>
            </w:pPr>
            <w:r>
              <w:rPr>
                <w:rFonts w:ascii="Times New Roman" w:hAnsi="Times New Roman" w:eastAsia="宋体"/>
                <w:b w:val="0"/>
                <w:sz w:val="24"/>
              </w:rPr>
              <w:t>（2）所有用于提升声明的方法均须在同一冻结测试清单上运行，保持split、区域、观测、动作、B/C、目标模态和终止条件一致。</w:t>
            </w:r>
          </w:p>
          <w:p>
            <w:pPr>
              <w:spacing w:line="312" w:lineRule="auto" w:before="0" w:after="0"/>
              <w:ind w:firstLine="480"/>
            </w:pPr>
            <w:r>
              <w:rPr>
                <w:rFonts w:ascii="Times New Roman" w:hAnsi="Times New Roman" w:eastAsia="宋体"/>
                <w:b w:val="0"/>
                <w:sz w:val="24"/>
              </w:rPr>
              <w:t>（3）Agent不得获取goal坐标、可定位目标的文件名/索引、真值距离、完整搜索图或未访问网格特征；评测器持有真值，oracle只用于环境单元测试或上界诊断，不作为可部署基线。</w:t>
            </w:r>
          </w:p>
          <w:p>
            <w:pPr>
              <w:spacing w:line="312" w:lineRule="auto" w:before="0" w:after="0"/>
              <w:ind w:firstLine="480"/>
            </w:pPr>
            <w:r>
              <w:rPr>
                <w:rFonts w:ascii="Times New Roman" w:hAnsi="Times New Roman" w:eastAsia="宋体"/>
                <w:b w:val="0"/>
                <w:sz w:val="24"/>
              </w:rPr>
              <w:t>（4）表2的量化目标为探索性假设，须结合多次运行、置信区间和成本报告检验；未达到目标也应如实分析，不以论文值或事后改变协议替代验证。</w:t>
            </w:r>
          </w:p>
          <w:p>
            <w:pPr>
              <w:spacing w:line="312" w:lineRule="auto" w:before="0" w:after="0"/>
              <w:ind w:firstLine="480"/>
            </w:pPr>
            <w:r>
              <w:rPr>
                <w:rFonts w:ascii="Times New Roman" w:hAnsi="Times New Roman" w:eastAsia="宋体"/>
                <w:b w:val="0"/>
                <w:sz w:val="24"/>
              </w:rPr>
              <w:t>（5）交付可运行的实验平台与方法代码、完整的对比与消融实验分析，以及课程设计报告。</w:t>
            </w:r>
          </w:p>
        </w:tc>
      </w:tr>
      <w:tr w14:paraId="40A0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60" w:hRule="atLeast"/>
        </w:trPr>
        <w:tc>
          <w:tcPr>
            <w:tcW w:w="8897" w:type="dxa"/>
            <w:gridSpan w:val="5"/>
            <w:noWrap w:val="0"/>
            <w:vAlign w:val="top"/>
          </w:tcPr>
          <w:p w14:paraId="24D4CD64">
            <w:pPr>
              <w:numPr>
                <w:ilvl w:val="0"/>
                <w:numId w:val="1"/>
              </w:numPr>
              <w:spacing w:before="156" w:beforeLines="50"/>
              <w:rPr>
                <w:b/>
              </w:rPr>
            </w:pPr>
            <w:r>
              <w:rPr>
                <w:rFonts w:hint="eastAsia"/>
                <w:b/>
              </w:rPr>
              <w:t>拟采用的研究方案和要解决的关键技术问题</w:t>
            </w:r>
          </w:p>
          <w:p>
            <w:pPr>
              <w:keepNext/>
              <w:spacing w:before="160" w:after="0" w:line="312" w:lineRule="auto"/>
            </w:pPr>
            <w:r>
              <w:rPr>
                <w:rFonts w:ascii="Times New Roman" w:hAnsi="Times New Roman" w:eastAsia="黑体"/>
                <w:b/>
                <w:sz w:val="24"/>
              </w:rPr>
              <w:t>国内外研究现状</w:t>
            </w:r>
          </w:p>
          <w:p>
            <w:pPr>
              <w:keepNext/>
              <w:spacing w:before="160" w:after="0" w:line="312" w:lineRule="auto"/>
            </w:pPr>
            <w:r>
              <w:rPr>
                <w:rFonts w:ascii="Times New Roman" w:hAnsi="Times New Roman" w:eastAsia="黑体"/>
                <w:b/>
                <w:sz w:val="24"/>
              </w:rPr>
              <w:t>（一）被动式视觉地理定位与跨视角定位</w:t>
            </w:r>
          </w:p>
          <w:p>
            <w:pPr>
              <w:spacing w:line="312" w:lineRule="auto" w:before="0" w:after="0"/>
              <w:ind w:firstLine="480"/>
            </w:pPr>
            <w:r>
              <w:rPr>
                <w:rFonts w:ascii="Times New Roman" w:hAnsi="Times New Roman" w:eastAsia="宋体"/>
                <w:b w:val="0"/>
                <w:sz w:val="24"/>
              </w:rPr>
              <w:t>视觉地理定位常通过查询图像与带地理标签的参考图像匹配[4]，深度学习进一步推动了表征与检索方法的发展[5]。跨视角地理定位研究地面、无人机与卫星等视角间的匹配，相关基准包括CVUSA[6]、University-1652[7]、VIGOR[8]。与本课题相比，这些被动检索设置通常不包含逐步移动获取局部观测的交互过程，不能未经协议转换就与AGL方法比较。</w:t>
            </w:r>
          </w:p>
          <w:p>
            <w:pPr>
              <w:keepNext/>
              <w:spacing w:before="160" w:after="0" w:line="312" w:lineRule="auto"/>
            </w:pPr>
            <w:r>
              <w:rPr>
                <w:rFonts w:ascii="Times New Roman" w:hAnsi="Times New Roman" w:eastAsia="黑体"/>
                <w:b/>
                <w:sz w:val="24"/>
              </w:rPr>
              <w:t>（二）主动地理定位</w:t>
            </w:r>
          </w:p>
          <w:p>
            <w:pPr>
              <w:spacing w:line="312" w:lineRule="auto" w:before="0" w:after="0"/>
              <w:ind w:firstLine="480"/>
            </w:pPr>
            <w:r>
              <w:rPr>
                <w:rFonts w:ascii="Times New Roman" w:hAnsi="Times New Roman" w:eastAsia="宋体"/>
                <w:b w:val="0"/>
                <w:sz w:val="24"/>
              </w:rPr>
              <w:t>代表性工作见表1。GOMAA-Geo[1]由跨模态表征、目标感知监督预训练（GASP）与PPO[13]策略学习组成，不是多个VLM协商的零训练架构。GeoExplorer[2]通过有监督的动作—状态联合预测建模环境，再以外部距离奖励与预测误差好奇心奖励训练PPO策略，不能将跨episode经验记忆归为其核心机制。DynCur-Geo[3]在本地论文中提出距离门控好奇心与势函数奖励塑形；距离用于训练奖励而非推理输入，其提升属于论文特定设置，不能概括为所有条件下全面优于前作。</w:t>
            </w:r>
          </w:p>
          <w:p>
            <w:pPr>
              <w:keepNext/>
              <w:spacing w:before="120" w:after="40" w:line="312" w:lineRule="auto"/>
              <w:jc w:val="center"/>
            </w:pPr>
            <w:r>
              <w:rPr>
                <w:rFonts w:ascii="Times New Roman" w:hAnsi="Times New Roman" w:eastAsia="宋体"/>
                <w:b/>
                <w:sz w:val="21"/>
              </w:rPr>
              <w:t>表 1  主动地理定位代表性工作对比</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79"/>
              <w:gridCol w:w="1779"/>
              <w:gridCol w:w="1779"/>
              <w:gridCol w:w="1779"/>
              <w:gridCol w:w="1779"/>
            </w:tblGrid>
            <w:tr>
              <w:trPr>
                <w:cantSplit/>
                <w:tblHeader w:val="true"/>
              </w:trPr>
              <w:tc>
                <w:tcPr>
                  <w:tcW w:type="dxa" w:w="1304"/>
                </w:tcPr>
                <w:p>
                  <w:pPr>
                    <w:spacing w:line="276" w:lineRule="auto" w:before="20" w:after="20"/>
                    <w:jc w:val="center"/>
                  </w:pPr>
                  <w:r>
                    <w:rPr>
                      <w:rFonts w:ascii="Times New Roman" w:hAnsi="Times New Roman" w:eastAsia="宋体"/>
                      <w:b/>
                      <w:sz w:val="21"/>
                    </w:rPr>
                    <w:t>方法</w:t>
                  </w:r>
                </w:p>
              </w:tc>
              <w:tc>
                <w:tcPr>
                  <w:tcW w:type="dxa" w:w="1191"/>
                </w:tcPr>
                <w:p>
                  <w:pPr>
                    <w:spacing w:line="276" w:lineRule="auto" w:before="20" w:after="20"/>
                    <w:jc w:val="center"/>
                  </w:pPr>
                  <w:r>
                    <w:rPr>
                      <w:rFonts w:ascii="Times New Roman" w:hAnsi="Times New Roman" w:eastAsia="宋体"/>
                      <w:b/>
                      <w:sz w:val="21"/>
                    </w:rPr>
                    <w:t>发表</w:t>
                  </w:r>
                </w:p>
              </w:tc>
              <w:tc>
                <w:tcPr>
                  <w:tcW w:type="dxa" w:w="1871"/>
                </w:tcPr>
                <w:p>
                  <w:pPr>
                    <w:spacing w:line="276" w:lineRule="auto" w:before="20" w:after="20"/>
                    <w:jc w:val="center"/>
                  </w:pPr>
                  <w:r>
                    <w:rPr>
                      <w:rFonts w:ascii="Times New Roman" w:hAnsi="Times New Roman" w:eastAsia="宋体"/>
                      <w:b/>
                      <w:sz w:val="21"/>
                    </w:rPr>
                    <w:t>技术路线</w:t>
                  </w:r>
                </w:p>
              </w:tc>
              <w:tc>
                <w:tcPr>
                  <w:tcW w:type="dxa" w:w="1984"/>
                </w:tcPr>
                <w:p>
                  <w:pPr>
                    <w:spacing w:line="276" w:lineRule="auto" w:before="20" w:after="20"/>
                    <w:jc w:val="center"/>
                  </w:pPr>
                  <w:r>
                    <w:rPr>
                      <w:rFonts w:ascii="Times New Roman" w:hAnsi="Times New Roman" w:eastAsia="宋体"/>
                      <w:b/>
                      <w:sz w:val="21"/>
                    </w:rPr>
                    <w:t>核心机制</w:t>
                  </w:r>
                </w:p>
              </w:tc>
              <w:tc>
                <w:tcPr>
                  <w:tcW w:type="dxa" w:w="1814"/>
                </w:tcPr>
                <w:p>
                  <w:pPr>
                    <w:spacing w:line="276" w:lineRule="auto" w:before="20" w:after="20"/>
                    <w:jc w:val="center"/>
                  </w:pPr>
                  <w:r>
                    <w:rPr>
                      <w:rFonts w:ascii="Times New Roman" w:hAnsi="Times New Roman" w:eastAsia="宋体"/>
                      <w:b/>
                      <w:sz w:val="21"/>
                    </w:rPr>
                    <w:t>主要局限</w:t>
                  </w:r>
                </w:p>
              </w:tc>
            </w:tr>
            <w:tr>
              <w:trPr>
                <w:cantSplit/>
              </w:trPr>
              <w:tc>
                <w:tcPr>
                  <w:tcW w:type="dxa" w:w="1304"/>
                </w:tcPr>
                <w:p>
                  <w:pPr>
                    <w:spacing w:line="276" w:lineRule="auto" w:before="20" w:after="20"/>
                  </w:pPr>
                  <w:r>
                    <w:rPr>
                      <w:rFonts w:ascii="Times New Roman" w:hAnsi="Times New Roman" w:eastAsia="宋体"/>
                      <w:b w:val="0"/>
                      <w:sz w:val="21"/>
                    </w:rPr>
                    <w:t>GOMAA-Geo</w:t>
                  </w:r>
                </w:p>
              </w:tc>
              <w:tc>
                <w:tcPr>
                  <w:tcW w:type="dxa" w:w="1191"/>
                </w:tcPr>
                <w:p>
                  <w:pPr>
                    <w:spacing w:line="276" w:lineRule="auto" w:before="20" w:after="20"/>
                  </w:pPr>
                  <w:r>
                    <w:rPr>
                      <w:rFonts w:ascii="Times New Roman" w:hAnsi="Times New Roman" w:eastAsia="宋体"/>
                      <w:b w:val="0"/>
                      <w:sz w:val="21"/>
                    </w:rPr>
                    <w:t>NeurIPS 2024</w:t>
                  </w:r>
                </w:p>
              </w:tc>
              <w:tc>
                <w:tcPr>
                  <w:tcW w:type="dxa" w:w="1871"/>
                </w:tcPr>
                <w:p>
                  <w:pPr>
                    <w:spacing w:line="276" w:lineRule="auto" w:before="20" w:after="20"/>
                  </w:pPr>
                  <w:r>
                    <w:rPr>
                      <w:rFonts w:ascii="Times New Roman" w:hAnsi="Times New Roman" w:eastAsia="宋体"/>
                      <w:b w:val="0"/>
                      <w:sz w:val="21"/>
                    </w:rPr>
                    <w:t>监督预训练 + PPO单策略</w:t>
                  </w:r>
                </w:p>
              </w:tc>
              <w:tc>
                <w:tcPr>
                  <w:tcW w:type="dxa" w:w="1984"/>
                </w:tcPr>
                <w:p>
                  <w:pPr>
                    <w:spacing w:line="276" w:lineRule="auto" w:before="20" w:after="20"/>
                  </w:pPr>
                  <w:r>
                    <w:rPr>
                      <w:rFonts w:ascii="Times New Roman" w:hAnsi="Times New Roman" w:eastAsia="宋体"/>
                      <w:b w:val="0"/>
                      <w:sz w:val="21"/>
                    </w:rPr>
                    <w:t>模态对齐、GASP、历史条件决策</w:t>
                  </w:r>
                </w:p>
              </w:tc>
              <w:tc>
                <w:tcPr>
                  <w:tcW w:type="dxa" w:w="1814"/>
                </w:tcPr>
                <w:p>
                  <w:pPr>
                    <w:spacing w:line="276" w:lineRule="auto" w:before="20" w:after="20"/>
                  </w:pPr>
                  <w:r>
                    <w:rPr>
                      <w:rFonts w:ascii="Times New Roman" w:hAnsi="Times New Roman" w:eastAsia="宋体"/>
                      <w:b w:val="0"/>
                      <w:sz w:val="21"/>
                    </w:rPr>
                    <w:t>需训练；迁移能力需按设置验证</w:t>
                  </w:r>
                </w:p>
              </w:tc>
            </w:tr>
            <w:tr>
              <w:trPr>
                <w:cantSplit/>
              </w:trPr>
              <w:tc>
                <w:tcPr>
                  <w:tcW w:type="dxa" w:w="1304"/>
                </w:tcPr>
                <w:p>
                  <w:pPr>
                    <w:spacing w:line="276" w:lineRule="auto" w:before="20" w:after="20"/>
                  </w:pPr>
                  <w:r>
                    <w:rPr>
                      <w:rFonts w:ascii="Times New Roman" w:hAnsi="Times New Roman" w:eastAsia="宋体"/>
                      <w:b w:val="0"/>
                      <w:sz w:val="21"/>
                    </w:rPr>
                    <w:t>GeoExplorer</w:t>
                  </w:r>
                </w:p>
              </w:tc>
              <w:tc>
                <w:tcPr>
                  <w:tcW w:type="dxa" w:w="1191"/>
                </w:tcPr>
                <w:p>
                  <w:pPr>
                    <w:spacing w:line="276" w:lineRule="auto" w:before="20" w:after="20"/>
                  </w:pPr>
                  <w:r>
                    <w:rPr>
                      <w:rFonts w:ascii="Times New Roman" w:hAnsi="Times New Roman" w:eastAsia="宋体"/>
                      <w:b w:val="0"/>
                      <w:sz w:val="21"/>
                    </w:rPr>
                    <w:t>ICCV 2025</w:t>
                  </w:r>
                </w:p>
              </w:tc>
              <w:tc>
                <w:tcPr>
                  <w:tcW w:type="dxa" w:w="1871"/>
                </w:tcPr>
                <w:p>
                  <w:pPr>
                    <w:spacing w:line="276" w:lineRule="auto" w:before="20" w:after="20"/>
                  </w:pPr>
                  <w:r>
                    <w:rPr>
                      <w:rFonts w:ascii="Times New Roman" w:hAnsi="Times New Roman" w:eastAsia="宋体"/>
                      <w:b w:val="0"/>
                      <w:sz w:val="21"/>
                    </w:rPr>
                    <w:t>动力学预训练 + PPO</w:t>
                  </w:r>
                </w:p>
              </w:tc>
              <w:tc>
                <w:tcPr>
                  <w:tcW w:type="dxa" w:w="1984"/>
                </w:tcPr>
                <w:p>
                  <w:pPr>
                    <w:spacing w:line="276" w:lineRule="auto" w:before="20" w:after="20"/>
                  </w:pPr>
                  <w:r>
                    <w:rPr>
                      <w:rFonts w:ascii="Times New Roman" w:hAnsi="Times New Roman" w:eastAsia="宋体"/>
                      <w:b w:val="0"/>
                      <w:sz w:val="21"/>
                    </w:rPr>
                    <w:t>动作—状态建模、好奇心奖励</w:t>
                  </w:r>
                </w:p>
              </w:tc>
              <w:tc>
                <w:tcPr>
                  <w:tcW w:type="dxa" w:w="1814"/>
                </w:tcPr>
                <w:p>
                  <w:pPr>
                    <w:spacing w:line="276" w:lineRule="auto" w:before="20" w:after="20"/>
                  </w:pPr>
                  <w:r>
                    <w:rPr>
                      <w:rFonts w:ascii="Times New Roman" w:hAnsi="Times New Roman" w:eastAsia="宋体"/>
                      <w:b w:val="0"/>
                      <w:sz w:val="21"/>
                    </w:rPr>
                    <w:t>需训练；探索与收敛需权衡</w:t>
                  </w:r>
                </w:p>
              </w:tc>
            </w:tr>
            <w:tr>
              <w:trPr>
                <w:cantSplit/>
              </w:trPr>
              <w:tc>
                <w:tcPr>
                  <w:tcW w:type="dxa" w:w="1304"/>
                </w:tcPr>
                <w:p>
                  <w:pPr>
                    <w:spacing w:line="276" w:lineRule="auto" w:before="20" w:after="20"/>
                  </w:pPr>
                  <w:r>
                    <w:rPr>
                      <w:rFonts w:ascii="Times New Roman" w:hAnsi="Times New Roman" w:eastAsia="宋体"/>
                      <w:b w:val="0"/>
                      <w:sz w:val="21"/>
                    </w:rPr>
                    <w:t>DynCur-Geo</w:t>
                  </w:r>
                </w:p>
              </w:tc>
              <w:tc>
                <w:tcPr>
                  <w:tcW w:type="dxa" w:w="1191"/>
                </w:tcPr>
                <w:p>
                  <w:pPr>
                    <w:spacing w:line="276" w:lineRule="auto" w:before="20" w:after="20"/>
                  </w:pPr>
                  <w:r>
                    <w:rPr>
                      <w:rFonts w:ascii="Times New Roman" w:hAnsi="Times New Roman" w:eastAsia="宋体"/>
                      <w:b w:val="0"/>
                      <w:sz w:val="21"/>
                    </w:rPr>
                    <w:t>arXiv 2026</w:t>
                  </w:r>
                </w:p>
              </w:tc>
              <w:tc>
                <w:tcPr>
                  <w:tcW w:type="dxa" w:w="1871"/>
                </w:tcPr>
                <w:p>
                  <w:pPr>
                    <w:spacing w:line="276" w:lineRule="auto" w:before="20" w:after="20"/>
                  </w:pPr>
                  <w:r>
                    <w:rPr>
                      <w:rFonts w:ascii="Times New Roman" w:hAnsi="Times New Roman" w:eastAsia="宋体"/>
                      <w:b w:val="0"/>
                      <w:sz w:val="21"/>
                    </w:rPr>
                    <w:t>预训练表征 + PPO</w:t>
                  </w:r>
                </w:p>
              </w:tc>
              <w:tc>
                <w:tcPr>
                  <w:tcW w:type="dxa" w:w="1984"/>
                </w:tcPr>
                <w:p>
                  <w:pPr>
                    <w:spacing w:line="276" w:lineRule="auto" w:before="20" w:after="20"/>
                  </w:pPr>
                  <w:r>
                    <w:rPr>
                      <w:rFonts w:ascii="Times New Roman" w:hAnsi="Times New Roman" w:eastAsia="宋体"/>
                      <w:b w:val="0"/>
                      <w:sz w:val="21"/>
                    </w:rPr>
                    <w:t>训练期距离门控好奇心、势函数塑形</w:t>
                  </w:r>
                </w:p>
              </w:tc>
              <w:tc>
                <w:tcPr>
                  <w:tcW w:type="dxa" w:w="1814"/>
                </w:tcPr>
                <w:p>
                  <w:pPr>
                    <w:spacing w:line="276" w:lineRule="auto" w:before="20" w:after="20"/>
                  </w:pPr>
                  <w:r>
                    <w:rPr>
                      <w:rFonts w:ascii="Times New Roman" w:hAnsi="Times New Roman" w:eastAsia="宋体"/>
                      <w:b w:val="0"/>
                      <w:sz w:val="21"/>
                    </w:rPr>
                    <w:t>依赖训练奖励；论文结果需协议核对</w:t>
                  </w:r>
                </w:p>
              </w:tc>
            </w:tr>
            <w:tr>
              <w:trPr>
                <w:cantSplit/>
              </w:trPr>
              <w:tc>
                <w:tcPr>
                  <w:tcW w:type="dxa" w:w="1304"/>
                </w:tcPr>
                <w:p>
                  <w:pPr>
                    <w:spacing w:line="276" w:lineRule="auto" w:before="20" w:after="20"/>
                  </w:pPr>
                  <w:r>
                    <w:rPr>
                      <w:rFonts w:ascii="Times New Roman" w:hAnsi="Times New Roman" w:eastAsia="宋体"/>
                      <w:b w:val="0"/>
                      <w:sz w:val="21"/>
                    </w:rPr>
                    <w:t>本课题</w:t>
                  </w:r>
                </w:p>
              </w:tc>
              <w:tc>
                <w:tcPr>
                  <w:tcW w:type="dxa" w:w="1191"/>
                </w:tcPr>
                <w:p>
                  <w:pPr>
                    <w:spacing w:line="276" w:lineRule="auto" w:before="20" w:after="20"/>
                  </w:pPr>
                  <w:r>
                    <w:rPr>
                      <w:rFonts w:ascii="Times New Roman" w:hAnsi="Times New Roman" w:eastAsia="宋体"/>
                      <w:b w:val="0"/>
                      <w:sz w:val="21"/>
                    </w:rPr>
                    <w:t>—</w:t>
                  </w:r>
                </w:p>
              </w:tc>
              <w:tc>
                <w:tcPr>
                  <w:tcW w:type="dxa" w:w="1871"/>
                </w:tcPr>
                <w:p>
                  <w:pPr>
                    <w:spacing w:line="276" w:lineRule="auto" w:before="20" w:after="20"/>
                  </w:pPr>
                  <w:r>
                    <w:rPr>
                      <w:rFonts w:ascii="Times New Roman" w:hAnsi="Times New Roman" w:eastAsia="宋体"/>
                      <w:b w:val="0"/>
                      <w:sz w:val="21"/>
                    </w:rPr>
                    <w:t>拟议零训练多智能体</w:t>
                  </w:r>
                </w:p>
              </w:tc>
              <w:tc>
                <w:tcPr>
                  <w:tcW w:type="dxa" w:w="1984"/>
                </w:tcPr>
                <w:p>
                  <w:pPr>
                    <w:spacing w:line="276" w:lineRule="auto" w:before="20" w:after="20"/>
                  </w:pPr>
                  <w:r>
                    <w:rPr>
                      <w:rFonts w:ascii="Times New Roman" w:hAnsi="Times New Roman" w:eastAsia="宋体"/>
                      <w:b w:val="0"/>
                      <w:sz w:val="21"/>
                    </w:rPr>
                    <w:t>episode内记忆、层级搜索与确认</w:t>
                  </w:r>
                </w:p>
              </w:tc>
              <w:tc>
                <w:tcPr>
                  <w:tcW w:type="dxa" w:w="1814"/>
                </w:tcPr>
                <w:p>
                  <w:pPr>
                    <w:spacing w:line="276" w:lineRule="auto" w:before="20" w:after="20"/>
                  </w:pPr>
                  <w:r>
                    <w:rPr>
                      <w:rFonts w:ascii="Times New Roman" w:hAnsi="Times New Roman" w:eastAsia="宋体"/>
                      <w:b w:val="0"/>
                      <w:sz w:val="21"/>
                    </w:rPr>
                    <w:t>效果与调用成本待验证</w:t>
                  </w:r>
                </w:p>
              </w:tc>
            </w:tr>
          </w:tbl>
          <w:p/>
          <w:p>
            <w:pPr>
              <w:spacing w:after="0" w:line="240" w:lineRule="auto"/>
            </w:pPr>
            <w:r>
              <w:rPr>
                <w:rFonts w:ascii="Times New Roman" w:hAnsi="Times New Roman" w:eastAsia="宋体"/>
                <w:b w:val="0"/>
                <w:sz w:val="12"/>
              </w:rPr>
            </w:r>
          </w:p>
          <w:p>
            <w:pPr>
              <w:keepNext/>
              <w:spacing w:before="160" w:after="0" w:line="312" w:lineRule="auto"/>
            </w:pPr>
            <w:r>
              <w:rPr>
                <w:rFonts w:ascii="Times New Roman" w:hAnsi="Times New Roman" w:eastAsia="黑体"/>
                <w:b/>
                <w:sz w:val="24"/>
              </w:rPr>
              <w:t>（三）研究空白与本课题切入点</w:t>
            </w:r>
          </w:p>
          <w:p>
            <w:pPr>
              <w:spacing w:line="312" w:lineRule="auto" w:before="0" w:after="0"/>
              <w:ind w:firstLine="480"/>
            </w:pPr>
            <w:r>
              <w:rPr>
                <w:rFonts w:ascii="Times New Roman" w:hAnsi="Times New Roman" w:eastAsia="宋体"/>
                <w:b w:val="0"/>
                <w:sz w:val="24"/>
              </w:rPr>
              <w:t>在现有训练式方法的基础上，本课题拟检验以下问题，而不预设相关问题尚未被任何工作研究：</w:t>
            </w:r>
          </w:p>
          <w:p>
            <w:pPr>
              <w:keepNext/>
              <w:spacing w:before="160" w:after="0" w:line="312" w:lineRule="auto"/>
            </w:pPr>
            <w:r>
              <w:rPr>
                <w:rFonts w:ascii="Times New Roman" w:hAnsi="Times New Roman" w:eastAsia="黑体"/>
                <w:b/>
                <w:sz w:val="24"/>
              </w:rPr>
              <w:t>（1）尺度问题。需区分同一区域网格细化与地理搜索范围扩大；前者改变单格视野和离散步长，不能直接代表后者。拟在明确覆盖范围、分辨率、步数预算B及初始距离C后评估搜索难度变化；</w:t>
            </w:r>
          </w:p>
          <w:p>
            <w:pPr>
              <w:keepNext/>
              <w:spacing w:before="160" w:after="0" w:line="312" w:lineRule="auto"/>
            </w:pPr>
            <w:r>
              <w:rPr>
                <w:rFonts w:ascii="Times New Roman" w:hAnsi="Times New Roman" w:eastAsia="黑体"/>
                <w:b/>
                <w:sz w:val="24"/>
              </w:rPr>
              <w:t>（2）无效移动问题。重复访问、震荡与进入目标邻域后离开是拟分析的轨迹现象；GOMAA-Geo已包含重访惩罚，故不宣称本课题首次解决。拟检验显式记忆与邻域确认能否进一步改善这些现象；</w:t>
            </w:r>
          </w:p>
          <w:p>
            <w:pPr>
              <w:keepNext/>
              <w:spacing w:before="160" w:after="0" w:line="312" w:lineRule="auto"/>
            </w:pPr>
            <w:r>
              <w:rPr>
                <w:rFonts w:ascii="Times New Roman" w:hAnsi="Times New Roman" w:eastAsia="黑体"/>
                <w:b/>
                <w:sz w:val="24"/>
              </w:rPr>
              <w:t>（3）方法路线。拟自主设计“多智能体 + 记忆与层级搜索”的免任务训练方案，冻结预训练VLM/LLM参数，通过提示、交互与上下文组织完成决策；其与训练式策略的效果及成本差异均需实验验证。</w:t>
            </w:r>
          </w:p>
          <w:p>
            <w:pPr>
              <w:spacing w:line="312" w:lineRule="auto" w:before="0" w:after="0"/>
              <w:ind w:firstLine="480"/>
            </w:pPr>
            <w:r>
              <w:rPr>
                <w:rFonts w:ascii="Times New Roman" w:hAnsi="Times New Roman" w:eastAsia="宋体"/>
                <w:b w:val="0"/>
                <w:sz w:val="24"/>
              </w:rPr>
              <w:t>上述研究共享网格化局部观测任务的基本形式，但并非全部使用相同数据和协议。开展数值比较前，须核对split、地理区域与目标模态、图像预处理及单格视野、动作与边界规则、B/C、任务采样、训练数据和权重、解码及终止规则。MASA、MM-GAG、SwissView及xBD[12]可作为候选数据来源；论文报告值仅作背景，不可与本地不同数据集结果直接相减并宣称提升。</w:t>
            </w:r>
          </w:p>
          <w:p>
            <w:pPr>
              <w:keepNext/>
              <w:spacing w:before="160" w:after="0" w:line="312" w:lineRule="auto"/>
            </w:pPr>
            <w:r>
              <w:rPr>
                <w:rFonts w:ascii="Times New Roman" w:hAnsi="Times New Roman" w:eastAsia="黑体"/>
                <w:b/>
                <w:sz w:val="24"/>
              </w:rPr>
              <w:t>研究内容与拟解决的关键问题</w:t>
            </w:r>
          </w:p>
          <w:p>
            <w:pPr>
              <w:keepNext/>
              <w:spacing w:before="160" w:after="0" w:line="312" w:lineRule="auto"/>
            </w:pPr>
            <w:r>
              <w:rPr>
                <w:rFonts w:ascii="Times New Roman" w:hAnsi="Times New Roman" w:eastAsia="黑体"/>
                <w:b/>
                <w:sz w:val="24"/>
              </w:rPr>
              <w:t>（一）关键问题分析</w:t>
            </w:r>
          </w:p>
          <w:p>
            <w:pPr>
              <w:spacing w:line="312" w:lineRule="auto" w:before="0" w:after="0"/>
              <w:ind w:firstLine="480"/>
            </w:pPr>
            <w:r>
              <w:rPr>
                <w:rFonts w:ascii="Times New Roman" w:hAnsi="Times New Roman" w:eastAsia="宋体"/>
                <w:b w:val="0"/>
                <w:sz w:val="24"/>
              </w:rPr>
              <w:t>结合研究现状分析，本课题拟重点解决以下三个关键问题：</w:t>
            </w:r>
          </w:p>
          <w:p>
            <w:pPr>
              <w:spacing w:line="312" w:lineRule="auto" w:before="0" w:after="0"/>
              <w:ind w:firstLine="480"/>
            </w:pPr>
            <w:r>
              <w:rPr>
                <w:rFonts w:ascii="Times New Roman" w:hAnsi="Times New Roman" w:eastAsia="宋体"/>
                <w:b w:val="0"/>
                <w:sz w:val="24"/>
              </w:rPr>
              <w:t>探索记忆的表示与利用：在局部观测和有限上下文下，如何紧凑记录本episode已访问网格、观测摘要与目标相关证据，减少不必要重访，同时允许合理回退并避免将低置信度判断永久视为排除事实；</w:t>
            </w:r>
          </w:p>
          <w:p>
            <w:pPr>
              <w:spacing w:line="312" w:lineRule="auto" w:before="0" w:after="0"/>
              <w:ind w:firstLine="480"/>
            </w:pPr>
            <w:r>
              <w:rPr>
                <w:rFonts w:ascii="Times New Roman" w:hAnsi="Times New Roman" w:eastAsia="宋体"/>
                <w:b w:val="0"/>
                <w:sz w:val="24"/>
              </w:rPr>
              <w:t>不同搜索尺度下的探索—收敛权衡：如何仅依据已访问观测形成区域候选，并在粗层级规划与相邻网格移动之间分配预算；跨尺度比较需明确B、物理步长及视野变化，避免将额外信息或预算误认作算法收益；</w:t>
            </w:r>
          </w:p>
          <w:p>
            <w:pPr>
              <w:spacing w:line="312" w:lineRule="auto" w:before="0" w:after="0"/>
              <w:ind w:firstLine="480"/>
            </w:pPr>
            <w:r>
              <w:rPr>
                <w:rFonts w:ascii="Times New Roman" w:hAnsi="Times New Roman" w:eastAsia="宋体"/>
                <w:b w:val="0"/>
                <w:sz w:val="24"/>
              </w:rPr>
              <w:t>视觉歧义区域的目标确认：如何依据可见线索核实候选，而非使用真值距离；标准四动作协议由环境判定到达，若增加智能体stop动作，须另列停止定位协议及指标，不能混入标准SR对比。</w:t>
            </w:r>
          </w:p>
          <w:p>
            <w:pPr>
              <w:keepNext/>
              <w:spacing w:before="160" w:after="0" w:line="312" w:lineRule="auto"/>
            </w:pPr>
            <w:r>
              <w:rPr>
                <w:rFonts w:ascii="Times New Roman" w:hAnsi="Times New Roman" w:eastAsia="黑体"/>
                <w:b/>
                <w:sz w:val="24"/>
              </w:rPr>
              <w:t>（二）智能体与地理环境交互实验平台的构建</w:t>
            </w:r>
          </w:p>
          <w:p>
            <w:pPr>
              <w:spacing w:line="312" w:lineRule="auto" w:before="0" w:after="0"/>
              <w:ind w:firstLine="480"/>
            </w:pPr>
            <w:r>
              <w:rPr>
                <w:rFonts w:ascii="Times New Roman" w:hAnsi="Times New Roman" w:eastAsia="宋体"/>
                <w:b w:val="0"/>
                <w:sz w:val="24"/>
              </w:rPr>
              <w:t>拟基于公开数据构建统一环境：每步只返回当前网格局部观测，动作限上下左右，首次到达目标或预算耗尽时由环境终止。MASA作为主要实验来源，MM-GAG用于多模态测试，SwissView与xBD作为条件具备后的跨域测试。Agent不得获取goal坐标、可定位目标的文件名/索引、真值距离、完整搜索图或未访问网格特征；评测器持有真值，oracle只用于环境单元测试或上界诊断，不作为可部署基线。冻结区域级划分和任务清单后再比较方法，不能仅凭接口统一就认定与论文可比。</w:t>
            </w:r>
          </w:p>
          <w:p>
            <w:pPr>
              <w:keepNext/>
              <w:spacing w:before="160" w:after="0" w:line="312" w:lineRule="auto"/>
            </w:pPr>
            <w:r>
              <w:rPr>
                <w:rFonts w:ascii="Times New Roman" w:hAnsi="Times New Roman" w:eastAsia="黑体"/>
                <w:b/>
                <w:sz w:val="24"/>
              </w:rPr>
              <w:t>（三）多智能体主动定位基础框架（自主设计）</w:t>
            </w:r>
          </w:p>
          <w:p>
            <w:pPr>
              <w:spacing w:line="312" w:lineRule="auto" w:before="0" w:after="0"/>
              <w:ind w:firstLine="480"/>
            </w:pPr>
            <w:r>
              <w:rPr>
                <w:rFonts w:ascii="Times New Roman" w:hAnsi="Times New Roman" w:eastAsia="宋体"/>
                <w:b w:val="0"/>
                <w:sz w:val="24"/>
              </w:rPr>
              <w:t>本课题拟自主设计零训练多智能体系统：感知定位智能体依据当前观测与目标线索形成候选和置信度；记忆管理智能体维护本episode证据；决策协调智能体结合剩余预算选择合法移动。可借鉴推理—行动交替思想[10]组织内部交互，但不将该分工归于GOMAA-Geo。标准实验仅输出四方向动作；stop扩展独立评估。系统冻结VLM/LLM参数，重点研究提示、证据校验与上下文组织，而非复现已有“零训练多VLM架构”。</w:t>
            </w:r>
          </w:p>
          <w:p>
            <w:pPr>
              <w:keepNext/>
              <w:spacing w:before="160" w:after="0" w:line="312" w:lineRule="auto"/>
            </w:pPr>
            <w:r>
              <w:rPr>
                <w:rFonts w:ascii="Times New Roman" w:hAnsi="Times New Roman" w:eastAsia="黑体"/>
                <w:b/>
                <w:sz w:val="24"/>
              </w:rPr>
              <w:t>（四）面向“少走回头路”的记忆机制设计（创新点一）</w:t>
            </w:r>
          </w:p>
          <w:p>
            <w:pPr>
              <w:spacing w:line="312" w:lineRule="auto" w:before="0" w:after="0"/>
              <w:ind w:firstLine="480"/>
            </w:pPr>
            <w:r>
              <w:rPr>
                <w:rFonts w:ascii="Times New Roman" w:hAnsi="Times New Roman" w:eastAsia="宋体"/>
                <w:b w:val="0"/>
                <w:sz w:val="24"/>
              </w:rPr>
              <w:t>拟设计显式episode内空间记忆，记录已访问位置、视觉摘要、目标相关匹配证据与置信度，通过紧凑表示和遗忘策略检验能否减少不必要重访。“此处无目标”等负面结论依赖当前目标，不能无条件复用于新任务；独立测试中每个episode重置记忆，开发与测试严格隔离。跨任务经验仅作为可选continual实验，单列任务顺序、允许保留的信息与重置规则，不与独立测试混报。</w:t>
            </w:r>
          </w:p>
          <w:p>
            <w:pPr>
              <w:keepNext/>
              <w:spacing w:before="160" w:after="0" w:line="312" w:lineRule="auto"/>
            </w:pPr>
            <w:r>
              <w:rPr>
                <w:rFonts w:ascii="Times New Roman" w:hAnsi="Times New Roman" w:eastAsia="黑体"/>
                <w:b/>
                <w:sz w:val="24"/>
              </w:rPr>
              <w:t>（五）面向“少走弯路”的层级搜索策略设计（创新点二）</w:t>
            </w:r>
          </w:p>
          <w:p>
            <w:pPr>
              <w:spacing w:line="312" w:lineRule="auto" w:before="0" w:after="0"/>
              <w:ind w:firstLine="480"/>
            </w:pPr>
            <w:r>
              <w:rPr>
                <w:rFonts w:ascii="Times New Roman" w:hAnsi="Times New Roman" w:eastAsia="宋体"/>
                <w:b w:val="0"/>
                <w:sz w:val="24"/>
              </w:rPr>
              <w:t>拟采用由粗到细的层级规划：仅从目标线索与已访问局部观测更新区域候选，再在候选区域安排网格级搜索；不读取完整地图、缩略全图或未访问特征，也不以“粗搜”名义额外获得观测。层级是内部规划抽象，执行仍为相邻四方向移动且逐步计费。邻域确认根据可见证据触发，效果通过消融验证；若扩展视野、跳跃移动或stop，则建立独立协议并显式核算预算。</w:t>
            </w:r>
          </w:p>
          <w:p>
            <w:pPr>
              <w:keepNext/>
              <w:spacing w:before="160" w:after="0" w:line="312" w:lineRule="auto"/>
            </w:pPr>
            <w:r>
              <w:rPr>
                <w:rFonts w:ascii="Times New Roman" w:hAnsi="Times New Roman" w:eastAsia="黑体"/>
                <w:b/>
                <w:sz w:val="24"/>
              </w:rPr>
              <w:t>（六）实验评测与消融分析</w:t>
            </w:r>
          </w:p>
          <w:p>
            <w:pPr>
              <w:spacing w:line="312" w:lineRule="auto" w:before="0" w:after="0"/>
              <w:ind w:firstLine="480"/>
            </w:pPr>
            <w:r>
              <w:rPr>
                <w:rFonts w:ascii="Times New Roman" w:hAnsi="Times New Roman" w:eastAsia="宋体"/>
                <w:b w:val="0"/>
                <w:sz w:val="24"/>
              </w:rPr>
              <w:t>所有用于提升声明的方法均须在同一冻结测试清单上运行，保持split、区域、观测、动作、B/C、目标模态和终止条件一致。训练式基线需核对其训练数据与权重；无法对齐时，论文值只列作背景。贪心策略不得预读相邻未访问图块，需明确可见信息与打分规则；消融固定模型、提示和预算，分别移除记忆、层级搜索及多智能体协作，统计SR/SG、重复访问与调用成本，并按场景和随机种子报告不确定性。</w:t>
            </w:r>
          </w:p>
          <w:p>
            <w:pPr>
              <w:keepNext/>
              <w:spacing w:before="160" w:after="0" w:line="312" w:lineRule="auto"/>
            </w:pPr>
            <w:r>
              <w:rPr>
                <w:rFonts w:ascii="Times New Roman" w:hAnsi="Times New Roman" w:eastAsia="黑体"/>
                <w:b/>
                <w:sz w:val="24"/>
              </w:rPr>
              <w:t>技术路线与总体方案</w:t>
            </w:r>
          </w:p>
          <w:p>
            <w:pPr>
              <w:spacing w:line="312" w:lineRule="auto" w:before="0" w:after="0"/>
              <w:ind w:firstLine="480"/>
            </w:pPr>
            <w:r>
              <w:rPr>
                <w:rFonts w:ascii="Times New Roman" w:hAnsi="Times New Roman" w:eastAsia="宋体"/>
                <w:b w:val="0"/>
                <w:sz w:val="24"/>
              </w:rPr>
              <w:t>系统技术路线如图1所示，拟由“环境平台 + 自主设计的多智能体闭环”组成。环境按标准四动作协议返回局部观测并判断首次到达或预算耗尽；真值仅供评测，不进入Agent决策。stop与跨任务记忆扩展分别另设协议。</w:t>
            </w:r>
          </w:p>
          <w:p>
            <w:pPr>
              <w:spacing w:before="120" w:after="0"/>
              <w:jc w:val="center"/>
            </w:pPr>
            <w:r>
              <w:rPr>
                <w:rFonts w:ascii="Times New Roman" w:hAnsi="Times New Roman" w:eastAsia="宋体"/>
                <w:b w:val="0"/>
                <w:sz w:val="24"/>
              </w:rPr>
              <w:drawing>
                <wp:inline xmlns:a="http://schemas.openxmlformats.org/drawingml/2006/main" xmlns:pic="http://schemas.openxmlformats.org/drawingml/2006/picture">
                  <wp:extent cx="5040000" cy="3506276"/>
                  <wp:docPr id="1" name="Picture 1"/>
                  <wp:cNvGraphicFramePr>
                    <a:graphicFrameLocks noChangeAspect="1"/>
                  </wp:cNvGraphicFramePr>
                  <a:graphic>
                    <a:graphicData uri="http://schemas.openxmlformats.org/drawingml/2006/picture">
                      <pic:pic>
                        <pic:nvPicPr>
                          <pic:cNvPr id="0" name="fig_tech_route_from_corrected.png"/>
                          <pic:cNvPicPr/>
                        </pic:nvPicPr>
                        <pic:blipFill>
                          <a:blip r:embed="rId9"/>
                          <a:stretch>
                            <a:fillRect/>
                          </a:stretch>
                        </pic:blipFill>
                        <pic:spPr>
                          <a:xfrm>
                            <a:off x="0" y="0"/>
                            <a:ext cx="5040000" cy="3506276"/>
                          </a:xfrm>
                          <a:prstGeom prst="rect"/>
                        </pic:spPr>
                      </pic:pic>
                    </a:graphicData>
                  </a:graphic>
                </wp:inline>
              </w:drawing>
            </w:r>
          </w:p>
          <w:p>
            <w:pPr>
              <w:keepNext/>
              <w:spacing w:before="120" w:after="40" w:line="312" w:lineRule="auto"/>
              <w:jc w:val="center"/>
            </w:pPr>
            <w:r>
              <w:rPr>
                <w:rFonts w:ascii="Times New Roman" w:hAnsi="Times New Roman" w:eastAsia="宋体"/>
                <w:b/>
                <w:sz w:val="21"/>
              </w:rPr>
              <w:t>图 1  系统总体技术路线图</w:t>
            </w:r>
          </w:p>
          <w:p>
            <w:pPr>
              <w:spacing w:line="312" w:lineRule="auto" w:before="0" w:after="0"/>
              <w:ind w:firstLine="480"/>
            </w:pPr>
            <w:r>
              <w:rPr>
                <w:rFonts w:ascii="Times New Roman" w:hAnsi="Times New Roman" w:eastAsia="宋体"/>
                <w:b w:val="0"/>
                <w:sz w:val="24"/>
              </w:rPr>
              <w:t>其中，单个任务的决策闭环流程如下：</w:t>
            </w:r>
          </w:p>
          <w:p>
            <w:pPr>
              <w:spacing w:line="312" w:lineRule="auto" w:before="0" w:after="0"/>
              <w:ind w:firstLine="480"/>
            </w:pPr>
            <w:r>
              <w:rPr>
                <w:rFonts w:ascii="Times New Roman" w:hAnsi="Times New Roman" w:eastAsia="宋体"/>
                <w:b w:val="0"/>
                <w:sz w:val="24"/>
              </w:rPr>
              <w:t>输入目标线索（航拍图、地面照片或文本）；环境初始化任务并清空episode记忆，隐藏目标坐标、文件名索引与真值距离；</w:t>
            </w:r>
          </w:p>
          <w:p>
            <w:pPr>
              <w:spacing w:line="312" w:lineRule="auto" w:before="0" w:after="0"/>
              <w:ind w:firstLine="480"/>
            </w:pPr>
            <w:r>
              <w:rPr>
                <w:rFonts w:ascii="Times New Roman" w:hAnsi="Times New Roman" w:eastAsia="宋体"/>
                <w:b w:val="0"/>
                <w:sz w:val="24"/>
              </w:rPr>
              <w:t>感知定位智能体获取当前网格航拍观测，结合目标线索进行地理关联推理；</w:t>
            </w:r>
          </w:p>
          <w:p>
            <w:pPr>
              <w:spacing w:line="312" w:lineRule="auto" w:before="0" w:after="0"/>
              <w:ind w:firstLine="480"/>
            </w:pPr>
            <w:r>
              <w:rPr>
                <w:rFonts w:ascii="Times New Roman" w:hAnsi="Times New Roman" w:eastAsia="宋体"/>
                <w:b w:val="0"/>
                <w:sz w:val="24"/>
              </w:rPr>
              <w:t>记忆管理智能体只更新本episode已访问位置与目标相关证据，不检索其他测试任务记录；</w:t>
            </w:r>
          </w:p>
          <w:p>
            <w:pPr>
              <w:spacing w:line="312" w:lineRule="auto" w:before="0" w:after="0"/>
              <w:ind w:firstLine="480"/>
            </w:pPr>
            <w:r>
              <w:rPr>
                <w:rFonts w:ascii="Times New Roman" w:hAnsi="Times New Roman" w:eastAsia="宋体"/>
                <w:b w:val="0"/>
                <w:sz w:val="24"/>
              </w:rPr>
              <w:t>决策协调智能体综合当前推理、记忆状态与剩余预算，确定当前搜索层级（区域级或网格级）与下一步动作；</w:t>
            </w:r>
          </w:p>
          <w:p>
            <w:pPr>
              <w:spacing w:line="312" w:lineRule="auto" w:before="0" w:after="0"/>
              <w:ind w:firstLine="480"/>
            </w:pPr>
            <w:r>
              <w:rPr>
                <w:rFonts w:ascii="Times New Roman" w:hAnsi="Times New Roman" w:eastAsia="宋体"/>
                <w:b w:val="0"/>
                <w:sz w:val="24"/>
              </w:rPr>
              <w:t>环境执行动作并返回新观测；</w:t>
            </w:r>
          </w:p>
          <w:p>
            <w:pPr>
              <w:spacing w:line="312" w:lineRule="auto" w:before="0" w:after="0"/>
              <w:ind w:firstLine="480"/>
            </w:pPr>
            <w:r>
              <w:rPr>
                <w:rFonts w:ascii="Times New Roman" w:hAnsi="Times New Roman" w:eastAsia="宋体"/>
                <w:b w:val="0"/>
                <w:sz w:val="24"/>
              </w:rPr>
              <w:t>重复步骤2至5，直至环境判定首次到达或预算耗尽；智能体stop仅在独立扩展协议中启用；</w:t>
            </w:r>
          </w:p>
          <w:p>
            <w:pPr>
              <w:spacing w:line="312" w:lineRule="auto" w:before="0" w:after="0"/>
              <w:ind w:firstLine="480"/>
            </w:pPr>
            <w:r>
              <w:rPr>
                <w:rFonts w:ascii="Times New Roman" w:hAnsi="Times New Roman" w:eastAsia="宋体"/>
                <w:b w:val="0"/>
                <w:sz w:val="24"/>
              </w:rPr>
              <w:t>评测器用隔离真值计算SR、SG、步数和重复访问率，记录轨迹与VLM调用成本；</w:t>
            </w:r>
          </w:p>
          <w:p>
            <w:pPr>
              <w:spacing w:line="312" w:lineRule="auto" w:before="0" w:after="0"/>
              <w:ind w:firstLine="480"/>
            </w:pPr>
            <w:r>
              <w:rPr>
                <w:rFonts w:ascii="Times New Roman" w:hAnsi="Times New Roman" w:eastAsia="宋体"/>
                <w:b w:val="0"/>
                <w:sz w:val="24"/>
              </w:rPr>
              <w:t>独立测试在任务结束后封存日志并清空记忆；可选continual实验按单独规则保留信息与报告结果。</w:t>
            </w:r>
          </w:p>
          <w:p>
            <w:pPr>
              <w:spacing w:line="312" w:lineRule="auto" w:before="0" w:after="0"/>
              <w:ind w:firstLine="480"/>
            </w:pPr>
            <w:r>
              <w:rPr>
                <w:rFonts w:ascii="Times New Roman" w:hAnsi="Times New Roman" w:eastAsia="宋体"/>
                <w:b w:val="0"/>
                <w:sz w:val="24"/>
              </w:rPr>
              <w:t>关键实现选型拟在开发阶段锁定：平台采用Python；视觉语言模型可选择基于Transformer架构[14]的商用API或本地开源模型，固定版本、提示和解码参数；特征编码可采用冻结的CLIP[9]等预训练模型。GeoExplorer的好奇心设计[11]属于训练式对照。所提方法不进行任务相关参数训练，但训练式基线的预训练、PPO与权重准备需单独核算；整体成本还包括VLM调用、上下文与多智能体协调开销。</w:t>
            </w:r>
          </w:p>
        </w:tc>
      </w:tr>
      <w:tr w14:paraId="1922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732" w:hRule="atLeast"/>
        </w:trPr>
        <w:tc>
          <w:tcPr>
            <w:tcW w:w="8897" w:type="dxa"/>
            <w:gridSpan w:val="5"/>
            <w:noWrap w:val="0"/>
            <w:vAlign w:val="top"/>
          </w:tcPr>
          <w:p w14:paraId="5C6D6D6B">
            <w:pPr>
              <w:spacing w:before="156" w:beforeLines="50"/>
              <w:rPr>
                <w:b/>
              </w:rPr>
            </w:pPr>
            <w:r>
              <w:rPr>
                <w:b/>
              </w:rPr>
              <w:t>四、项目实施方案及实施计划</w:t>
            </w:r>
          </w:p>
          <w:p>
            <w:pPr>
              <w:keepNext/>
              <w:spacing w:before="160" w:after="0" w:line="312" w:lineRule="auto"/>
            </w:pPr>
            <w:r>
              <w:rPr>
                <w:rFonts w:ascii="Times New Roman" w:hAnsi="Times New Roman" w:eastAsia="黑体"/>
                <w:b/>
                <w:sz w:val="24"/>
              </w:rPr>
              <w:t>实施方案</w:t>
            </w:r>
          </w:p>
          <w:p>
            <w:pPr>
              <w:spacing w:line="312" w:lineRule="auto" w:before="0" w:after="0"/>
              <w:ind w:firstLine="480"/>
            </w:pPr>
            <w:r>
              <w:rPr>
                <w:rFonts w:ascii="Times New Roman" w:hAnsi="Times New Roman" w:eastAsia="宋体"/>
                <w:b w:val="0"/>
                <w:sz w:val="24"/>
              </w:rPr>
              <w:t>拟按六个阶段推进：先搭建数据管线与网格化环境、完成 SR/SG 评测与基线；再接入视觉语言模型、构建多智能体基础框架；随后开展记忆与层级搜索的机制实验；最后进行同协议对比、失败分析与报告撰写（里程碑见表3）。</w:t>
            </w:r>
          </w:p>
          <w:p>
            <w:pPr>
              <w:spacing w:line="312" w:lineRule="auto" w:before="0" w:after="0"/>
              <w:ind w:firstLine="480"/>
            </w:pPr>
            <w:r>
              <w:rPr>
                <w:rFonts w:ascii="Times New Roman" w:hAnsi="Times New Roman" w:eastAsia="宋体"/>
                <w:b w:val="0"/>
                <w:sz w:val="24"/>
              </w:rPr>
              <w:t>主要风险与对策：调用成本过高时控制上下文与协作轮数，分开统计移动和模型调用预算；基线难以复现时缩减比较范围并标注未复现，论文值仅作背景；模型输出不稳定时采用结构化校验、固定解码与种子并报告多次运行结果；多次投票的额外调用成本同步计入。</w:t>
            </w:r>
          </w:p>
          <w:p>
            <w:pPr>
              <w:keepNext/>
              <w:spacing w:before="160" w:after="0" w:line="312" w:lineRule="auto"/>
            </w:pPr>
            <w:r>
              <w:rPr>
                <w:rFonts w:ascii="Times New Roman" w:hAnsi="Times New Roman" w:eastAsia="黑体"/>
                <w:b/>
                <w:sz w:val="24"/>
              </w:rPr>
              <w:t>可行性分析</w:t>
            </w:r>
          </w:p>
          <w:p>
            <w:pPr>
              <w:keepNext/>
              <w:spacing w:before="160" w:after="0" w:line="312" w:lineRule="auto"/>
            </w:pPr>
            <w:r>
              <w:rPr>
                <w:rFonts w:ascii="Times New Roman" w:hAnsi="Times New Roman" w:eastAsia="黑体"/>
                <w:b/>
                <w:sz w:val="24"/>
              </w:rPr>
              <w:t>（一）技术可行性</w:t>
            </w:r>
          </w:p>
          <w:p>
            <w:pPr>
              <w:spacing w:line="312" w:lineRule="auto" w:before="0" w:after="0"/>
              <w:ind w:firstLine="480"/>
            </w:pPr>
            <w:r>
              <w:rPr>
                <w:rFonts w:ascii="Times New Roman" w:hAnsi="Times New Roman" w:eastAsia="宋体"/>
                <w:b w:val="0"/>
                <w:sz w:val="24"/>
              </w:rPr>
              <w:t>零训练方案避免本课题方法的参数训练开销，但VLM显存、调用费用和时延仍需实测。Python网格环境与模块化接口有利于控制实验条件。GOMAA-Geo官方源码（github.com/mvrl/GOMAA-Geo）可供核对数据处理、预训练与PPO评测流程；使用其权重与对照结果仍需核实版本、训练数据和测试协议，不能视为可直接复用的多智能体系统。</w:t>
            </w:r>
          </w:p>
          <w:p>
            <w:pPr>
              <w:keepNext/>
              <w:spacing w:before="160" w:after="0" w:line="312" w:lineRule="auto"/>
            </w:pPr>
            <w:r>
              <w:rPr>
                <w:rFonts w:ascii="Times New Roman" w:hAnsi="Times New Roman" w:eastAsia="黑体"/>
                <w:b/>
                <w:sz w:val="24"/>
              </w:rPr>
              <w:t>（二）数据可行性</w:t>
            </w:r>
          </w:p>
          <w:p>
            <w:pPr>
              <w:spacing w:line="312" w:lineRule="auto" w:before="0" w:after="0"/>
              <w:ind w:firstLine="480"/>
            </w:pPr>
            <w:r>
              <w:rPr>
                <w:rFonts w:ascii="Times New Roman" w:hAnsi="Times New Roman" w:eastAsia="宋体"/>
                <w:b w:val="0"/>
                <w:sz w:val="24"/>
              </w:rPr>
              <w:t>候选数据来自公开资源，但“公开”不等于已完整取得或划分一致。当前本地Masa为训练137、验证4、测试10幅；GeoExplorer论文描述1188幅及70%/15%/15%划分，二者来源差异尚未查明，不能称本地数据为作者内部重切版。拟保留本地数据版本标识并核查区域重叠；在完成溯源前只做本地协议内对比，不与论文值直接声明提升。</w:t>
            </w:r>
          </w:p>
          <w:p>
            <w:pPr>
              <w:keepNext/>
              <w:spacing w:before="160" w:after="0" w:line="312" w:lineRule="auto"/>
            </w:pPr>
            <w:r>
              <w:rPr>
                <w:rFonts w:ascii="Times New Roman" w:hAnsi="Times New Roman" w:eastAsia="黑体"/>
                <w:b/>
                <w:sz w:val="24"/>
              </w:rPr>
              <w:t>（三）团队与时间可行性</w:t>
            </w:r>
          </w:p>
          <w:p>
            <w:pPr>
              <w:spacing w:line="312" w:lineRule="auto" w:before="0" w:after="0"/>
              <w:ind w:firstLine="480"/>
            </w:pPr>
            <w:r>
              <w:rPr>
                <w:rFonts w:ascii="Times New Roman" w:hAnsi="Times New Roman" w:eastAsia="宋体"/>
                <w:b w:val="0"/>
                <w:sz w:val="24"/>
              </w:rPr>
              <w:t>三人拟分别负责实验平台、记忆机制与搜索策略，按18周教学安排设置六个里程碑。先完成协议与基线，再开展机制实验；训练式基线复现和跨域数据准备需预留时间。若资源不足，缩减实验范围并如实说明，不以未对齐的论文数值替代本地对照。</w:t>
            </w:r>
          </w:p>
          <w:p>
            <w:pPr>
              <w:keepNext/>
              <w:spacing w:before="160" w:after="0" w:line="312" w:lineRule="auto"/>
            </w:pPr>
            <w:r>
              <w:rPr>
                <w:rFonts w:ascii="Times New Roman" w:hAnsi="Times New Roman" w:eastAsia="黑体"/>
                <w:b/>
                <w:sz w:val="24"/>
              </w:rPr>
              <w:t>（四）文献与方法基础</w:t>
            </w:r>
          </w:p>
          <w:p>
            <w:pPr>
              <w:spacing w:line="312" w:lineRule="auto" w:before="0" w:after="0"/>
              <w:ind w:firstLine="480"/>
            </w:pPr>
            <w:r>
              <w:rPr>
                <w:rFonts w:ascii="Times New Roman" w:hAnsi="Times New Roman" w:eastAsia="宋体"/>
                <w:b w:val="0"/>
                <w:sz w:val="24"/>
              </w:rPr>
              <w:t>本课题以GOMAA-Geo的目标模态无关任务定义、GeoExplorer的动力学建模与好奇心探索、DynCur-Geo的训练奖励设计作为研究参照。三者均不能作为零训练多智能体方案已获验证的证据。后续需先锁定数据版本、观测权限与评测协议，再研究多智能体、episode内记忆及层级搜索的独立贡献。</w:t>
            </w:r>
          </w:p>
          <w:p>
            <w:pPr>
              <w:keepNext/>
              <w:spacing w:before="160" w:after="0" w:line="312" w:lineRule="auto"/>
            </w:pPr>
            <w:r>
              <w:rPr>
                <w:rFonts w:ascii="Times New Roman" w:hAnsi="Times New Roman" w:eastAsia="黑体"/>
                <w:b/>
                <w:sz w:val="24"/>
              </w:rPr>
              <w:t>实施计划</w:t>
            </w:r>
          </w:p>
          <w:p>
            <w:pPr>
              <w:spacing w:line="312" w:lineRule="auto" w:before="0" w:after="0"/>
              <w:ind w:firstLine="480"/>
            </w:pPr>
            <w:r>
              <w:rPr>
                <w:rFonts w:ascii="Times New Roman" w:hAnsi="Times New Roman" w:eastAsia="宋体"/>
                <w:b w:val="0"/>
                <w:sz w:val="24"/>
              </w:rPr>
              <w:t>本课题按教学日历共 18 周（2026 年 9 月 14 日至 2027 年 1 月 17 日），分六个阶段推进并设置六个里程碑（M1–M6），详见表 3。</w:t>
            </w:r>
          </w:p>
          <w:p>
            <w:pPr>
              <w:keepNext/>
              <w:spacing w:before="120" w:after="40" w:line="312" w:lineRule="auto"/>
              <w:jc w:val="center"/>
            </w:pPr>
            <w:r>
              <w:rPr>
                <w:rFonts w:ascii="Times New Roman" w:hAnsi="Times New Roman" w:eastAsia="宋体"/>
                <w:b/>
                <w:sz w:val="21"/>
              </w:rPr>
              <w:t>表 3  进度安排（2026.9.14–2027.1.17，共 18 周）</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79"/>
              <w:gridCol w:w="1779"/>
              <w:gridCol w:w="1779"/>
              <w:gridCol w:w="1779"/>
              <w:gridCol w:w="1779"/>
            </w:tblGrid>
            <w:tr>
              <w:trPr>
                <w:cantSplit/>
                <w:tblHeader w:val="true"/>
              </w:trPr>
              <w:tc>
                <w:tcPr>
                  <w:tcW w:type="dxa" w:w="1928"/>
                </w:tcPr>
                <w:p>
                  <w:pPr>
                    <w:spacing w:line="276" w:lineRule="auto" w:before="20" w:after="20"/>
                    <w:jc w:val="center"/>
                  </w:pPr>
                  <w:r>
                    <w:rPr>
                      <w:rFonts w:ascii="Times New Roman" w:hAnsi="Times New Roman" w:eastAsia="宋体"/>
                      <w:b/>
                      <w:sz w:val="21"/>
                    </w:rPr>
                    <w:t>阶段</w:t>
                  </w:r>
                </w:p>
              </w:tc>
              <w:tc>
                <w:tcPr>
                  <w:tcW w:type="dxa" w:w="794"/>
                </w:tcPr>
                <w:p>
                  <w:pPr>
                    <w:spacing w:line="276" w:lineRule="auto" w:before="20" w:after="20"/>
                    <w:jc w:val="center"/>
                  </w:pPr>
                  <w:r>
                    <w:rPr>
                      <w:rFonts w:ascii="Times New Roman" w:hAnsi="Times New Roman" w:eastAsia="宋体"/>
                      <w:b/>
                      <w:sz w:val="21"/>
                    </w:rPr>
                    <w:t>周次</w:t>
                  </w:r>
                </w:p>
              </w:tc>
              <w:tc>
                <w:tcPr>
                  <w:tcW w:type="dxa" w:w="1247"/>
                </w:tcPr>
                <w:p>
                  <w:pPr>
                    <w:spacing w:line="276" w:lineRule="auto" w:before="20" w:after="20"/>
                    <w:jc w:val="center"/>
                  </w:pPr>
                  <w:r>
                    <w:rPr>
                      <w:rFonts w:ascii="Times New Roman" w:hAnsi="Times New Roman" w:eastAsia="宋体"/>
                      <w:b/>
                      <w:sz w:val="21"/>
                    </w:rPr>
                    <w:t>时间</w:t>
                  </w:r>
                </w:p>
              </w:tc>
              <w:tc>
                <w:tcPr>
                  <w:tcW w:type="dxa" w:w="3061"/>
                </w:tcPr>
                <w:p>
                  <w:pPr>
                    <w:spacing w:line="276" w:lineRule="auto" w:before="20" w:after="20"/>
                    <w:jc w:val="center"/>
                  </w:pPr>
                  <w:r>
                    <w:rPr>
                      <w:rFonts w:ascii="Times New Roman" w:hAnsi="Times New Roman" w:eastAsia="宋体"/>
                      <w:b/>
                      <w:sz w:val="21"/>
                    </w:rPr>
                    <w:t>主要任务</w:t>
                  </w:r>
                </w:p>
              </w:tc>
              <w:tc>
                <w:tcPr>
                  <w:tcW w:type="dxa" w:w="1134"/>
                </w:tcPr>
                <w:p>
                  <w:pPr>
                    <w:spacing w:line="276" w:lineRule="auto" w:before="20" w:after="20"/>
                    <w:jc w:val="center"/>
                  </w:pPr>
                  <w:r>
                    <w:rPr>
                      <w:rFonts w:ascii="Times New Roman" w:hAnsi="Times New Roman" w:eastAsia="宋体"/>
                      <w:b/>
                      <w:sz w:val="21"/>
                    </w:rPr>
                    <w:t>里程碑</w:t>
                  </w:r>
                </w:p>
              </w:tc>
            </w:tr>
            <w:tr>
              <w:trPr>
                <w:cantSplit/>
              </w:trPr>
              <w:tc>
                <w:tcPr>
                  <w:tcW w:type="dxa" w:w="1928"/>
                </w:tcPr>
                <w:p>
                  <w:pPr>
                    <w:spacing w:line="276" w:lineRule="auto" w:before="20" w:after="20"/>
                  </w:pPr>
                  <w:r>
                    <w:rPr>
                      <w:rFonts w:ascii="Times New Roman" w:hAnsi="Times New Roman" w:eastAsia="宋体"/>
                      <w:b w:val="0"/>
                      <w:sz w:val="21"/>
                    </w:rPr>
                    <w:t>一、文献调研与选题论证</w:t>
                  </w:r>
                </w:p>
              </w:tc>
              <w:tc>
                <w:tcPr>
                  <w:tcW w:type="dxa" w:w="794"/>
                </w:tcPr>
                <w:p>
                  <w:pPr>
                    <w:spacing w:line="276" w:lineRule="auto" w:before="20" w:after="20"/>
                  </w:pPr>
                  <w:r>
                    <w:rPr>
                      <w:rFonts w:ascii="Times New Roman" w:hAnsi="Times New Roman" w:eastAsia="宋体"/>
                      <w:b w:val="0"/>
                      <w:sz w:val="21"/>
                    </w:rPr>
                    <w:t>1–3</w:t>
                  </w:r>
                </w:p>
              </w:tc>
              <w:tc>
                <w:tcPr>
                  <w:tcW w:type="dxa" w:w="1247"/>
                </w:tcPr>
                <w:p>
                  <w:pPr>
                    <w:spacing w:line="276" w:lineRule="auto" w:before="20" w:after="20"/>
                  </w:pPr>
                  <w:r>
                    <w:rPr>
                      <w:rFonts w:ascii="Times New Roman" w:hAnsi="Times New Roman" w:eastAsia="宋体"/>
                      <w:b w:val="0"/>
                      <w:sz w:val="21"/>
                    </w:rPr>
                    <w:t>9.14–10.4</w:t>
                  </w:r>
                </w:p>
              </w:tc>
              <w:tc>
                <w:tcPr>
                  <w:tcW w:type="dxa" w:w="3061"/>
                </w:tcPr>
                <w:p>
                  <w:pPr>
                    <w:spacing w:line="276" w:lineRule="auto" w:before="20" w:after="20"/>
                  </w:pPr>
                  <w:r>
                    <w:rPr>
                      <w:rFonts w:ascii="Times New Roman" w:hAnsi="Times New Roman" w:eastAsia="宋体"/>
                      <w:b w:val="0"/>
                      <w:sz w:val="21"/>
                    </w:rPr>
                    <w:t>精读三篇核心论文；确定技术路线与分工；完成选题报告</w:t>
                  </w:r>
                </w:p>
              </w:tc>
              <w:tc>
                <w:tcPr>
                  <w:tcW w:type="dxa" w:w="1134"/>
                </w:tcPr>
                <w:p>
                  <w:pPr>
                    <w:spacing w:line="276" w:lineRule="auto" w:before="20" w:after="20"/>
                  </w:pPr>
                  <w:r>
                    <w:rPr>
                      <w:rFonts w:ascii="Times New Roman" w:hAnsi="Times New Roman" w:eastAsia="宋体"/>
                      <w:b w:val="0"/>
                      <w:sz w:val="21"/>
                    </w:rPr>
                    <w:t>M1：选题报告通过</w:t>
                  </w:r>
                </w:p>
              </w:tc>
            </w:tr>
            <w:tr>
              <w:trPr>
                <w:cantSplit/>
              </w:trPr>
              <w:tc>
                <w:tcPr>
                  <w:tcW w:type="dxa" w:w="1928"/>
                </w:tcPr>
                <w:p>
                  <w:pPr>
                    <w:spacing w:line="276" w:lineRule="auto" w:before="20" w:after="20"/>
                  </w:pPr>
                  <w:r>
                    <w:rPr>
                      <w:rFonts w:ascii="Times New Roman" w:hAnsi="Times New Roman" w:eastAsia="宋体"/>
                      <w:b w:val="0"/>
                      <w:sz w:val="21"/>
                    </w:rPr>
                    <w:t>二、实验平台搭建</w:t>
                  </w:r>
                </w:p>
              </w:tc>
              <w:tc>
                <w:tcPr>
                  <w:tcW w:type="dxa" w:w="794"/>
                </w:tcPr>
                <w:p>
                  <w:pPr>
                    <w:spacing w:line="276" w:lineRule="auto" w:before="20" w:after="20"/>
                  </w:pPr>
                  <w:r>
                    <w:rPr>
                      <w:rFonts w:ascii="Times New Roman" w:hAnsi="Times New Roman" w:eastAsia="宋体"/>
                      <w:b w:val="0"/>
                      <w:sz w:val="21"/>
                    </w:rPr>
                    <w:t>4–6</w:t>
                  </w:r>
                </w:p>
              </w:tc>
              <w:tc>
                <w:tcPr>
                  <w:tcW w:type="dxa" w:w="1247"/>
                </w:tcPr>
                <w:p>
                  <w:pPr>
                    <w:spacing w:line="276" w:lineRule="auto" w:before="20" w:after="20"/>
                  </w:pPr>
                  <w:r>
                    <w:rPr>
                      <w:rFonts w:ascii="Times New Roman" w:hAnsi="Times New Roman" w:eastAsia="宋体"/>
                      <w:b w:val="0"/>
                      <w:sz w:val="21"/>
                    </w:rPr>
                    <w:t>10.5–10.25</w:t>
                  </w:r>
                </w:p>
              </w:tc>
              <w:tc>
                <w:tcPr>
                  <w:tcW w:type="dxa" w:w="3061"/>
                </w:tcPr>
                <w:p>
                  <w:pPr>
                    <w:spacing w:line="276" w:lineRule="auto" w:before="20" w:after="20"/>
                  </w:pPr>
                  <w:r>
                    <w:rPr>
                      <w:rFonts w:ascii="Times New Roman" w:hAnsi="Times New Roman" w:eastAsia="宋体"/>
                      <w:b w:val="0"/>
                      <w:sz w:val="21"/>
                    </w:rPr>
                    <w:t>数据处理管线；网格环境与交互接口；SR/SG 评测与轨迹可视化；Random 与贪心基线</w:t>
                  </w:r>
                </w:p>
              </w:tc>
              <w:tc>
                <w:tcPr>
                  <w:tcW w:type="dxa" w:w="1134"/>
                </w:tcPr>
                <w:p>
                  <w:pPr>
                    <w:spacing w:line="276" w:lineRule="auto" w:before="20" w:after="20"/>
                  </w:pPr>
                  <w:r>
                    <w:rPr>
                      <w:rFonts w:ascii="Times New Roman" w:hAnsi="Times New Roman" w:eastAsia="宋体"/>
                      <w:b w:val="0"/>
                      <w:sz w:val="21"/>
                    </w:rPr>
                    <w:t>M2：平台 v1.0，基线跑通</w:t>
                  </w:r>
                </w:p>
              </w:tc>
            </w:tr>
            <w:tr>
              <w:trPr>
                <w:cantSplit/>
              </w:trPr>
              <w:tc>
                <w:tcPr>
                  <w:tcW w:type="dxa" w:w="1928"/>
                </w:tcPr>
                <w:p>
                  <w:pPr>
                    <w:spacing w:line="276" w:lineRule="auto" w:before="20" w:after="20"/>
                  </w:pPr>
                  <w:r>
                    <w:rPr>
                      <w:rFonts w:ascii="Times New Roman" w:hAnsi="Times New Roman" w:eastAsia="宋体"/>
                      <w:b w:val="0"/>
                      <w:sz w:val="21"/>
                    </w:rPr>
                    <w:t>三、多智能体基础框架</w:t>
                  </w:r>
                </w:p>
              </w:tc>
              <w:tc>
                <w:tcPr>
                  <w:tcW w:type="dxa" w:w="794"/>
                </w:tcPr>
                <w:p>
                  <w:pPr>
                    <w:spacing w:line="276" w:lineRule="auto" w:before="20" w:after="20"/>
                  </w:pPr>
                  <w:r>
                    <w:rPr>
                      <w:rFonts w:ascii="Times New Roman" w:hAnsi="Times New Roman" w:eastAsia="宋体"/>
                      <w:b w:val="0"/>
                      <w:sz w:val="21"/>
                    </w:rPr>
                    <w:t>7–9</w:t>
                  </w:r>
                </w:p>
              </w:tc>
              <w:tc>
                <w:tcPr>
                  <w:tcW w:type="dxa" w:w="1247"/>
                </w:tcPr>
                <w:p>
                  <w:pPr>
                    <w:spacing w:line="276" w:lineRule="auto" w:before="20" w:after="20"/>
                  </w:pPr>
                  <w:r>
                    <w:rPr>
                      <w:rFonts w:ascii="Times New Roman" w:hAnsi="Times New Roman" w:eastAsia="宋体"/>
                      <w:b w:val="0"/>
                      <w:sz w:val="21"/>
                    </w:rPr>
                    <w:t>10.26–11.15</w:t>
                  </w:r>
                </w:p>
              </w:tc>
              <w:tc>
                <w:tcPr>
                  <w:tcW w:type="dxa" w:w="3061"/>
                </w:tcPr>
                <w:p>
                  <w:pPr>
                    <w:spacing w:line="276" w:lineRule="auto" w:before="20" w:after="20"/>
                  </w:pPr>
                  <w:r>
                    <w:rPr>
                      <w:rFonts w:ascii="Times New Roman" w:hAnsi="Times New Roman" w:eastAsia="宋体"/>
                      <w:b w:val="0"/>
                      <w:sz w:val="21"/>
                    </w:rPr>
                    <w:t>VLM 接入；感知、记忆、协调三类智能体与交互协议；基础系统在 MASA 上出实验结果</w:t>
                  </w:r>
                </w:p>
              </w:tc>
              <w:tc>
                <w:tcPr>
                  <w:tcW w:type="dxa" w:w="1134"/>
                </w:tcPr>
                <w:p>
                  <w:pPr>
                    <w:spacing w:line="276" w:lineRule="auto" w:before="20" w:after="20"/>
                  </w:pPr>
                  <w:r>
                    <w:rPr>
                      <w:rFonts w:ascii="Times New Roman" w:hAnsi="Times New Roman" w:eastAsia="宋体"/>
                      <w:b w:val="0"/>
                      <w:sz w:val="21"/>
                    </w:rPr>
                    <w:t>M3：中期检查通过</w:t>
                  </w:r>
                </w:p>
              </w:tc>
            </w:tr>
            <w:tr>
              <w:trPr>
                <w:cantSplit/>
              </w:trPr>
              <w:tc>
                <w:tcPr>
                  <w:tcW w:type="dxa" w:w="1928"/>
                </w:tcPr>
                <w:p>
                  <w:pPr>
                    <w:spacing w:line="276" w:lineRule="auto" w:before="20" w:after="20"/>
                  </w:pPr>
                  <w:r>
                    <w:rPr>
                      <w:rFonts w:ascii="Times New Roman" w:hAnsi="Times New Roman" w:eastAsia="宋体"/>
                      <w:b w:val="0"/>
                      <w:sz w:val="21"/>
                    </w:rPr>
                    <w:t>四、记忆与搜索策略创新</w:t>
                  </w:r>
                </w:p>
              </w:tc>
              <w:tc>
                <w:tcPr>
                  <w:tcW w:type="dxa" w:w="794"/>
                </w:tcPr>
                <w:p>
                  <w:pPr>
                    <w:spacing w:line="276" w:lineRule="auto" w:before="20" w:after="20"/>
                  </w:pPr>
                  <w:r>
                    <w:rPr>
                      <w:rFonts w:ascii="Times New Roman" w:hAnsi="Times New Roman" w:eastAsia="宋体"/>
                      <w:b w:val="0"/>
                      <w:sz w:val="21"/>
                    </w:rPr>
                    <w:t>10–13</w:t>
                  </w:r>
                </w:p>
              </w:tc>
              <w:tc>
                <w:tcPr>
                  <w:tcW w:type="dxa" w:w="1247"/>
                </w:tcPr>
                <w:p>
                  <w:pPr>
                    <w:spacing w:line="276" w:lineRule="auto" w:before="20" w:after="20"/>
                  </w:pPr>
                  <w:r>
                    <w:rPr>
                      <w:rFonts w:ascii="Times New Roman" w:hAnsi="Times New Roman" w:eastAsia="宋体"/>
                      <w:b w:val="0"/>
                      <w:sz w:val="21"/>
                    </w:rPr>
                    <w:t>11.16–12.13</w:t>
                  </w:r>
                </w:p>
              </w:tc>
              <w:tc>
                <w:tcPr>
                  <w:tcW w:type="dxa" w:w="3061"/>
                </w:tcPr>
                <w:p>
                  <w:pPr>
                    <w:spacing w:line="276" w:lineRule="auto" w:before="20" w:after="20"/>
                  </w:pPr>
                  <w:r>
                    <w:rPr>
                      <w:rFonts w:ascii="Times New Roman" w:hAnsi="Times New Roman" w:eastAsia="宋体"/>
                      <w:b w:val="0"/>
                      <w:sz w:val="21"/>
                    </w:rPr>
                    <w:t>episode内记忆；层级搜索与证据确认；隔离消融实验</w:t>
                  </w:r>
                </w:p>
              </w:tc>
              <w:tc>
                <w:tcPr>
                  <w:tcW w:type="dxa" w:w="1134"/>
                </w:tcPr>
                <w:p>
                  <w:pPr>
                    <w:spacing w:line="276" w:lineRule="auto" w:before="20" w:after="20"/>
                  </w:pPr>
                  <w:r>
                    <w:rPr>
                      <w:rFonts w:ascii="Times New Roman" w:hAnsi="Times New Roman" w:eastAsia="宋体"/>
                      <w:b w:val="0"/>
                      <w:sz w:val="21"/>
                    </w:rPr>
                    <w:t>M4：完成假设检验</w:t>
                  </w:r>
                </w:p>
              </w:tc>
            </w:tr>
            <w:tr>
              <w:trPr>
                <w:cantSplit/>
              </w:trPr>
              <w:tc>
                <w:tcPr>
                  <w:tcW w:type="dxa" w:w="1928"/>
                </w:tcPr>
                <w:p>
                  <w:pPr>
                    <w:spacing w:line="276" w:lineRule="auto" w:before="20" w:after="20"/>
                  </w:pPr>
                  <w:r>
                    <w:rPr>
                      <w:rFonts w:ascii="Times New Roman" w:hAnsi="Times New Roman" w:eastAsia="宋体"/>
                      <w:b w:val="0"/>
                      <w:sz w:val="21"/>
                    </w:rPr>
                    <w:t>五、系统评测与分析</w:t>
                  </w:r>
                </w:p>
              </w:tc>
              <w:tc>
                <w:tcPr>
                  <w:tcW w:type="dxa" w:w="794"/>
                </w:tcPr>
                <w:p>
                  <w:pPr>
                    <w:spacing w:line="276" w:lineRule="auto" w:before="20" w:after="20"/>
                  </w:pPr>
                  <w:r>
                    <w:rPr>
                      <w:rFonts w:ascii="Times New Roman" w:hAnsi="Times New Roman" w:eastAsia="宋体"/>
                      <w:b w:val="0"/>
                      <w:sz w:val="21"/>
                    </w:rPr>
                    <w:t>14–16</w:t>
                  </w:r>
                </w:p>
              </w:tc>
              <w:tc>
                <w:tcPr>
                  <w:tcW w:type="dxa" w:w="1247"/>
                </w:tcPr>
                <w:p>
                  <w:pPr>
                    <w:spacing w:line="276" w:lineRule="auto" w:before="20" w:after="20"/>
                  </w:pPr>
                  <w:r>
                    <w:rPr>
                      <w:rFonts w:ascii="Times New Roman" w:hAnsi="Times New Roman" w:eastAsia="宋体"/>
                      <w:b w:val="0"/>
                      <w:sz w:val="21"/>
                    </w:rPr>
                    <w:t>12.14–1.3</w:t>
                  </w:r>
                </w:p>
              </w:tc>
              <w:tc>
                <w:tcPr>
                  <w:tcW w:type="dxa" w:w="3061"/>
                </w:tcPr>
                <w:p>
                  <w:pPr>
                    <w:spacing w:line="276" w:lineRule="auto" w:before="20" w:after="20"/>
                  </w:pPr>
                  <w:r>
                    <w:rPr>
                      <w:rFonts w:ascii="Times New Roman" w:hAnsi="Times New Roman" w:eastAsia="宋体"/>
                      <w:b w:val="0"/>
                      <w:sz w:val="21"/>
                    </w:rPr>
                    <w:t>同协议对比；区分网格细化与区域扩大；失败分析</w:t>
                  </w:r>
                </w:p>
              </w:tc>
              <w:tc>
                <w:tcPr>
                  <w:tcW w:type="dxa" w:w="1134"/>
                </w:tcPr>
                <w:p>
                  <w:pPr>
                    <w:spacing w:line="276" w:lineRule="auto" w:before="20" w:after="20"/>
                  </w:pPr>
                  <w:r>
                    <w:rPr>
                      <w:rFonts w:ascii="Times New Roman" w:hAnsi="Times New Roman" w:eastAsia="宋体"/>
                      <w:b w:val="0"/>
                      <w:sz w:val="21"/>
                    </w:rPr>
                    <w:t>M5：全部实验完成</w:t>
                  </w:r>
                </w:p>
              </w:tc>
            </w:tr>
            <w:tr>
              <w:trPr>
                <w:cantSplit/>
              </w:trPr>
              <w:tc>
                <w:tcPr>
                  <w:tcW w:type="dxa" w:w="1928"/>
                </w:tcPr>
                <w:p>
                  <w:pPr>
                    <w:spacing w:line="276" w:lineRule="auto" w:before="20" w:after="20"/>
                  </w:pPr>
                  <w:r>
                    <w:rPr>
                      <w:rFonts w:ascii="Times New Roman" w:hAnsi="Times New Roman" w:eastAsia="宋体"/>
                      <w:b w:val="0"/>
                      <w:sz w:val="21"/>
                    </w:rPr>
                    <w:t>六、报告撰写与答辩</w:t>
                  </w:r>
                </w:p>
              </w:tc>
              <w:tc>
                <w:tcPr>
                  <w:tcW w:type="dxa" w:w="794"/>
                </w:tcPr>
                <w:p>
                  <w:pPr>
                    <w:spacing w:line="276" w:lineRule="auto" w:before="20" w:after="20"/>
                  </w:pPr>
                  <w:r>
                    <w:rPr>
                      <w:rFonts w:ascii="Times New Roman" w:hAnsi="Times New Roman" w:eastAsia="宋体"/>
                      <w:b w:val="0"/>
                      <w:sz w:val="21"/>
                    </w:rPr>
                    <w:t>17–18</w:t>
                  </w:r>
                </w:p>
              </w:tc>
              <w:tc>
                <w:tcPr>
                  <w:tcW w:type="dxa" w:w="1247"/>
                </w:tcPr>
                <w:p>
                  <w:pPr>
                    <w:spacing w:line="276" w:lineRule="auto" w:before="20" w:after="20"/>
                  </w:pPr>
                  <w:r>
                    <w:rPr>
                      <w:rFonts w:ascii="Times New Roman" w:hAnsi="Times New Roman" w:eastAsia="宋体"/>
                      <w:b w:val="0"/>
                      <w:sz w:val="21"/>
                    </w:rPr>
                    <w:t>1.4–1.17</w:t>
                  </w:r>
                </w:p>
              </w:tc>
              <w:tc>
                <w:tcPr>
                  <w:tcW w:type="dxa" w:w="3061"/>
                </w:tcPr>
                <w:p>
                  <w:pPr>
                    <w:spacing w:line="276" w:lineRule="auto" w:before="20" w:after="20"/>
                  </w:pPr>
                  <w:r>
                    <w:rPr>
                      <w:rFonts w:ascii="Times New Roman" w:hAnsi="Times New Roman" w:eastAsia="宋体"/>
                      <w:b w:val="0"/>
                      <w:sz w:val="21"/>
                    </w:rPr>
                    <w:t>课程设计报告撰写；代码整理与文档；答辩准备</w:t>
                  </w:r>
                </w:p>
              </w:tc>
              <w:tc>
                <w:tcPr>
                  <w:tcW w:type="dxa" w:w="1134"/>
                </w:tcPr>
                <w:p>
                  <w:pPr>
                    <w:spacing w:line="276" w:lineRule="auto" w:before="20" w:after="20"/>
                  </w:pPr>
                  <w:r>
                    <w:rPr>
                      <w:rFonts w:ascii="Times New Roman" w:hAnsi="Times New Roman" w:eastAsia="宋体"/>
                      <w:b w:val="0"/>
                      <w:sz w:val="21"/>
                    </w:rPr>
                    <w:t>M6：提交与答辩</w:t>
                  </w:r>
                </w:p>
              </w:tc>
            </w:tr>
          </w:tbl>
          <w:p/>
          <w:p>
            <w:pPr>
              <w:spacing w:after="0" w:line="240" w:lineRule="auto"/>
            </w:pPr>
            <w:r>
              <w:rPr>
                <w:rFonts w:ascii="Times New Roman" w:hAnsi="Times New Roman" w:eastAsia="宋体"/>
                <w:b w:val="0"/>
                <w:sz w:val="12"/>
              </w:rPr>
            </w:r>
          </w:p>
        </w:tc>
      </w:tr>
      <w:tr w14:paraId="4E0A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692" w:hRule="atLeast"/>
        </w:trPr>
        <w:tc>
          <w:tcPr>
            <w:tcW w:w="8897" w:type="dxa"/>
            <w:gridSpan w:val="5"/>
            <w:noWrap w:val="0"/>
            <w:vAlign w:val="top"/>
          </w:tcPr>
          <w:p w14:paraId="06BA2431">
            <w:pPr>
              <w:spacing w:before="156" w:beforeLines="50"/>
              <w:rPr>
                <w:b/>
              </w:rPr>
            </w:pPr>
            <w:r>
              <w:rPr>
                <w:b/>
              </w:rPr>
              <w:t>六、成员分工情况</w:t>
            </w:r>
          </w:p>
          <w:p>
            <w:pPr>
              <w:keepNext/>
              <w:spacing w:before="120" w:after="40" w:line="312" w:lineRule="auto"/>
              <w:jc w:val="center"/>
            </w:pPr>
            <w:r>
              <w:rPr>
                <w:rFonts w:ascii="Times New Roman" w:hAnsi="Times New Roman" w:eastAsia="宋体"/>
                <w:b/>
                <w:sz w:val="21"/>
              </w:rPr>
              <w:t>表 4  小组分工（成员信息待填）</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66"/>
              <w:gridCol w:w="2966"/>
              <w:gridCol w:w="2966"/>
            </w:tblGrid>
            <w:tr>
              <w:trPr>
                <w:cantSplit/>
                <w:tblHeader w:val="true"/>
              </w:trPr>
              <w:tc>
                <w:tcPr>
                  <w:tcW w:type="dxa" w:w="1814"/>
                </w:tcPr>
                <w:p>
                  <w:pPr>
                    <w:spacing w:line="276" w:lineRule="auto" w:before="20" w:after="20"/>
                    <w:jc w:val="center"/>
                  </w:pPr>
                  <w:r>
                    <w:rPr>
                      <w:rFonts w:ascii="Times New Roman" w:hAnsi="Times New Roman" w:eastAsia="宋体"/>
                      <w:b/>
                      <w:sz w:val="21"/>
                    </w:rPr>
                    <w:t>成员</w:t>
                  </w:r>
                </w:p>
              </w:tc>
              <w:tc>
                <w:tcPr>
                  <w:tcW w:type="dxa" w:w="2041"/>
                </w:tcPr>
                <w:p>
                  <w:pPr>
                    <w:spacing w:line="276" w:lineRule="auto" w:before="20" w:after="20"/>
                    <w:jc w:val="center"/>
                  </w:pPr>
                  <w:r>
                    <w:rPr>
                      <w:rFonts w:ascii="Times New Roman" w:hAnsi="Times New Roman" w:eastAsia="宋体"/>
                      <w:b/>
                      <w:sz w:val="21"/>
                    </w:rPr>
                    <w:t>角色</w:t>
                  </w:r>
                </w:p>
              </w:tc>
              <w:tc>
                <w:tcPr>
                  <w:tcW w:type="dxa" w:w="4309"/>
                </w:tcPr>
                <w:p>
                  <w:pPr>
                    <w:spacing w:line="276" w:lineRule="auto" w:before="20" w:after="20"/>
                    <w:jc w:val="center"/>
                  </w:pPr>
                  <w:r>
                    <w:rPr>
                      <w:rFonts w:ascii="Times New Roman" w:hAnsi="Times New Roman" w:eastAsia="宋体"/>
                      <w:b/>
                      <w:sz w:val="21"/>
                    </w:rPr>
                    <w:t>主要职责</w:t>
                  </w:r>
                </w:p>
              </w:tc>
            </w:tr>
            <w:tr>
              <w:trPr>
                <w:cantSplit/>
              </w:trPr>
              <w:tc>
                <w:tcPr>
                  <w:tcW w:type="dxa" w:w="1814"/>
                </w:tcPr>
                <w:p>
                  <w:pPr>
                    <w:spacing w:line="276" w:lineRule="auto" w:before="20" w:after="20"/>
                  </w:pPr>
                  <w:r>
                    <w:rPr>
                      <w:rFonts w:ascii="Times New Roman" w:hAnsi="Times New Roman" w:eastAsia="宋体"/>
                      <w:b w:val="0"/>
                      <w:sz w:val="21"/>
                    </w:rPr>
                    <w:t>＿＿＿＿（组长）</w:t>
                  </w:r>
                </w:p>
              </w:tc>
              <w:tc>
                <w:tcPr>
                  <w:tcW w:type="dxa" w:w="2041"/>
                </w:tcPr>
                <w:p>
                  <w:pPr>
                    <w:spacing w:line="276" w:lineRule="auto" w:before="20" w:after="20"/>
                  </w:pPr>
                  <w:r>
                    <w:rPr>
                      <w:rFonts w:ascii="Times New Roman" w:hAnsi="Times New Roman" w:eastAsia="宋体"/>
                      <w:b w:val="0"/>
                      <w:sz w:val="21"/>
                    </w:rPr>
                    <w:t>实验平台与评测</w:t>
                  </w:r>
                </w:p>
              </w:tc>
              <w:tc>
                <w:tcPr>
                  <w:tcW w:type="dxa" w:w="4309"/>
                </w:tcPr>
                <w:p>
                  <w:pPr>
                    <w:spacing w:line="276" w:lineRule="auto" w:before="20" w:after="20"/>
                  </w:pPr>
                  <w:r>
                    <w:rPr>
                      <w:rFonts w:ascii="Times New Roman" w:hAnsi="Times New Roman" w:eastAsia="宋体"/>
                      <w:b w:val="0"/>
                      <w:sz w:val="21"/>
                    </w:rPr>
                    <w:t>环境与数据管线搭建；基线复现；指标统计与轨迹可视化</w:t>
                  </w:r>
                </w:p>
              </w:tc>
            </w:tr>
            <w:tr>
              <w:trPr>
                <w:cantSplit/>
              </w:trPr>
              <w:tc>
                <w:tcPr>
                  <w:tcW w:type="dxa" w:w="1814"/>
                </w:tcPr>
                <w:p>
                  <w:pPr>
                    <w:spacing w:line="276" w:lineRule="auto" w:before="20" w:after="20"/>
                  </w:pPr>
                  <w:r>
                    <w:rPr>
                      <w:rFonts w:ascii="Times New Roman" w:hAnsi="Times New Roman" w:eastAsia="宋体"/>
                      <w:b w:val="0"/>
                      <w:sz w:val="21"/>
                    </w:rPr>
                    <w:t>＿＿＿＿</w:t>
                  </w:r>
                </w:p>
              </w:tc>
              <w:tc>
                <w:tcPr>
                  <w:tcW w:type="dxa" w:w="2041"/>
                </w:tcPr>
                <w:p>
                  <w:pPr>
                    <w:spacing w:line="276" w:lineRule="auto" w:before="20" w:after="20"/>
                  </w:pPr>
                  <w:r>
                    <w:rPr>
                      <w:rFonts w:ascii="Times New Roman" w:hAnsi="Times New Roman" w:eastAsia="宋体"/>
                      <w:b w:val="0"/>
                      <w:sz w:val="21"/>
                    </w:rPr>
                    <w:t>多智能体系统与记忆机制</w:t>
                  </w:r>
                </w:p>
              </w:tc>
              <w:tc>
                <w:tcPr>
                  <w:tcW w:type="dxa" w:w="4309"/>
                </w:tcPr>
                <w:p>
                  <w:pPr>
                    <w:spacing w:line="276" w:lineRule="auto" w:before="20" w:after="20"/>
                  </w:pPr>
                  <w:r>
                    <w:rPr>
                      <w:rFonts w:ascii="Times New Roman" w:hAnsi="Times New Roman" w:eastAsia="宋体"/>
                      <w:b w:val="0"/>
                      <w:sz w:val="21"/>
                    </w:rPr>
                    <w:t>VLM接入与交互协议；episode内记忆及可选continual隔离</w:t>
                  </w:r>
                </w:p>
              </w:tc>
            </w:tr>
            <w:tr>
              <w:trPr>
                <w:cantSplit/>
              </w:trPr>
              <w:tc>
                <w:tcPr>
                  <w:tcW w:type="dxa" w:w="1814"/>
                </w:tcPr>
                <w:p>
                  <w:pPr>
                    <w:spacing w:line="276" w:lineRule="auto" w:before="20" w:after="20"/>
                  </w:pPr>
                  <w:r>
                    <w:rPr>
                      <w:rFonts w:ascii="Times New Roman" w:hAnsi="Times New Roman" w:eastAsia="宋体"/>
                      <w:b w:val="0"/>
                      <w:sz w:val="21"/>
                    </w:rPr>
                    <w:t>＿＿＿＿</w:t>
                  </w:r>
                </w:p>
              </w:tc>
              <w:tc>
                <w:tcPr>
                  <w:tcW w:type="dxa" w:w="2041"/>
                </w:tcPr>
                <w:p>
                  <w:pPr>
                    <w:spacing w:line="276" w:lineRule="auto" w:before="20" w:after="20"/>
                  </w:pPr>
                  <w:r>
                    <w:rPr>
                      <w:rFonts w:ascii="Times New Roman" w:hAnsi="Times New Roman" w:eastAsia="宋体"/>
                      <w:b w:val="0"/>
                      <w:sz w:val="21"/>
                    </w:rPr>
                    <w:t>搜索策略与实验分析</w:t>
                  </w:r>
                </w:p>
              </w:tc>
              <w:tc>
                <w:tcPr>
                  <w:tcW w:type="dxa" w:w="4309"/>
                </w:tcPr>
                <w:p>
                  <w:pPr>
                    <w:spacing w:line="276" w:lineRule="auto" w:before="20" w:after="20"/>
                  </w:pPr>
                  <w:r>
                    <w:rPr>
                      <w:rFonts w:ascii="Times New Roman" w:hAnsi="Times New Roman" w:eastAsia="宋体"/>
                      <w:b w:val="0"/>
                      <w:sz w:val="21"/>
                    </w:rPr>
                    <w:t>层级搜索与邻域确认策略；消融与大尺度实验；报告统筹</w:t>
                  </w:r>
                </w:p>
              </w:tc>
            </w:tr>
          </w:tbl>
          <w:p/>
          <w:p>
            <w:pPr>
              <w:spacing w:after="0" w:line="240" w:lineRule="auto"/>
            </w:pPr>
            <w:r>
              <w:rPr>
                <w:rFonts w:ascii="Times New Roman" w:hAnsi="Times New Roman" w:eastAsia="宋体"/>
                <w:b w:val="0"/>
                <w:sz w:val="12"/>
              </w:rPr>
            </w:r>
          </w:p>
          <w:p>
            <w:pPr>
              <w:spacing w:line="312" w:lineRule="auto" w:before="0" w:after="0"/>
              <w:ind w:firstLine="480"/>
            </w:pPr>
            <w:r>
              <w:rPr>
                <w:rFonts w:ascii="Times New Roman" w:hAnsi="Times New Roman" w:eastAsia="宋体"/>
                <w:b w:val="0"/>
                <w:sz w:val="24"/>
              </w:rPr>
              <w:t>三人共同参与文献调研、方案讨论与最终报告撰写；每周组会同步进展，分工可根据中期检查结果动态调整。</w:t>
            </w:r>
          </w:p>
        </w:tc>
      </w:tr>
      <w:tr w14:paraId="5B16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497" w:hRule="atLeast"/>
        </w:trPr>
        <w:tc>
          <w:tcPr>
            <w:tcW w:w="8897" w:type="dxa"/>
            <w:gridSpan w:val="5"/>
            <w:noWrap w:val="0"/>
            <w:vAlign w:val="top"/>
          </w:tcPr>
          <w:p w14:paraId="48A5E2D3">
            <w:pPr>
              <w:spacing w:before="156" w:beforeLines="50"/>
              <w:rPr>
                <w:b/>
              </w:rPr>
            </w:pPr>
            <w:r>
              <w:rPr>
                <w:b/>
              </w:rPr>
              <w:t>七、预期成果及成果形式</w:t>
            </w:r>
          </w:p>
          <w:p>
            <w:pPr>
              <w:keepNext/>
              <w:spacing w:before="160" w:after="0" w:line="312" w:lineRule="auto"/>
            </w:pPr>
            <w:r>
              <w:rPr>
                <w:rFonts w:ascii="Times New Roman" w:hAnsi="Times New Roman" w:eastAsia="黑体"/>
                <w:b/>
                <w:sz w:val="24"/>
              </w:rPr>
              <w:t>预期成果：</w:t>
            </w:r>
          </w:p>
          <w:p>
            <w:pPr>
              <w:spacing w:line="312" w:lineRule="auto" w:before="0" w:after="0"/>
              <w:ind w:firstLine="480"/>
            </w:pPr>
            <w:r>
              <w:rPr>
                <w:rFonts w:ascii="Times New Roman" w:hAnsi="Times New Roman" w:eastAsia="宋体"/>
                <w:b w:val="0"/>
                <w:sz w:val="24"/>
              </w:rPr>
              <w:t>（1）主动地理定位网格化交互实验平台一套（含数据管线、评测与可视化）；</w:t>
            </w:r>
          </w:p>
          <w:p>
            <w:pPr>
              <w:spacing w:line="312" w:lineRule="auto" w:before="0" w:after="0"/>
              <w:ind w:firstLine="480"/>
            </w:pPr>
            <w:r>
              <w:rPr>
                <w:rFonts w:ascii="Times New Roman" w:hAnsi="Times New Roman" w:eastAsia="宋体"/>
                <w:b w:val="0"/>
                <w:sz w:val="24"/>
              </w:rPr>
              <w:t>（2）基于多智能体的主动定位方法系统一套（含记忆与层级搜索模块）；</w:t>
            </w:r>
          </w:p>
          <w:p>
            <w:pPr>
              <w:spacing w:line="312" w:lineRule="auto" w:before="0" w:after="0"/>
              <w:ind w:firstLine="480"/>
            </w:pPr>
            <w:r>
              <w:rPr>
                <w:rFonts w:ascii="Times New Roman" w:hAnsi="Times New Roman" w:eastAsia="宋体"/>
                <w:b w:val="0"/>
                <w:sz w:val="24"/>
              </w:rPr>
              <w:t>（3）完整的对比实验与消融实验分析；</w:t>
            </w:r>
          </w:p>
          <w:p>
            <w:pPr>
              <w:spacing w:line="312" w:lineRule="auto" w:before="0" w:after="0"/>
              <w:ind w:firstLine="480"/>
            </w:pPr>
            <w:r>
              <w:rPr>
                <w:rFonts w:ascii="Times New Roman" w:hAnsi="Times New Roman" w:eastAsia="宋体"/>
                <w:b w:val="0"/>
                <w:sz w:val="24"/>
              </w:rPr>
              <w:t>（4）综合工程设计报告及全部源代码。</w:t>
            </w:r>
          </w:p>
          <w:p>
            <w:pPr>
              <w:keepNext/>
              <w:spacing w:before="120" w:after="40" w:line="312" w:lineRule="auto"/>
              <w:jc w:val="center"/>
            </w:pPr>
            <w:r>
              <w:rPr>
                <w:rFonts w:ascii="Times New Roman" w:hAnsi="Times New Roman" w:eastAsia="宋体"/>
                <w:b/>
                <w:sz w:val="21"/>
              </w:rPr>
              <w:t>表 2  预期考核指标</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66"/>
              <w:gridCol w:w="2966"/>
              <w:gridCol w:w="2966"/>
            </w:tblGrid>
            <w:tr>
              <w:trPr>
                <w:cantSplit/>
                <w:tblHeader w:val="true"/>
              </w:trPr>
              <w:tc>
                <w:tcPr>
                  <w:tcW w:type="dxa" w:w="1701"/>
                </w:tcPr>
                <w:p>
                  <w:pPr>
                    <w:spacing w:line="276" w:lineRule="auto" w:before="20" w:after="20"/>
                    <w:jc w:val="center"/>
                  </w:pPr>
                  <w:r>
                    <w:rPr>
                      <w:rFonts w:ascii="Times New Roman" w:hAnsi="Times New Roman" w:eastAsia="宋体"/>
                      <w:b/>
                      <w:sz w:val="21"/>
                    </w:rPr>
                    <w:t>指标</w:t>
                  </w:r>
                </w:p>
              </w:tc>
              <w:tc>
                <w:tcPr>
                  <w:tcW w:type="dxa" w:w="3969"/>
                </w:tcPr>
                <w:p>
                  <w:pPr>
                    <w:spacing w:line="276" w:lineRule="auto" w:before="20" w:after="20"/>
                    <w:jc w:val="center"/>
                  </w:pPr>
                  <w:r>
                    <w:rPr>
                      <w:rFonts w:ascii="Times New Roman" w:hAnsi="Times New Roman" w:eastAsia="宋体"/>
                      <w:b/>
                      <w:sz w:val="21"/>
                    </w:rPr>
                    <w:t>定义</w:t>
                  </w:r>
                </w:p>
              </w:tc>
              <w:tc>
                <w:tcPr>
                  <w:tcW w:type="dxa" w:w="2494"/>
                </w:tcPr>
                <w:p>
                  <w:pPr>
                    <w:spacing w:line="276" w:lineRule="auto" w:before="20" w:after="20"/>
                    <w:jc w:val="center"/>
                  </w:pPr>
                  <w:r>
                    <w:rPr>
                      <w:rFonts w:ascii="Times New Roman" w:hAnsi="Times New Roman" w:eastAsia="宋体"/>
                      <w:b/>
                      <w:sz w:val="21"/>
                    </w:rPr>
                    <w:t>预期目标</w:t>
                  </w:r>
                </w:p>
              </w:tc>
            </w:tr>
            <w:tr>
              <w:trPr>
                <w:cantSplit/>
              </w:trPr>
              <w:tc>
                <w:tcPr>
                  <w:tcW w:type="dxa" w:w="1701"/>
                </w:tcPr>
                <w:p>
                  <w:pPr>
                    <w:spacing w:line="276" w:lineRule="auto" w:before="20" w:after="20"/>
                  </w:pPr>
                  <w:r>
                    <w:rPr>
                      <w:rFonts w:ascii="Times New Roman" w:hAnsi="Times New Roman" w:eastAsia="宋体"/>
                      <w:b w:val="0"/>
                      <w:sz w:val="21"/>
                    </w:rPr>
                    <w:t>SR（成功率）</w:t>
                  </w:r>
                </w:p>
              </w:tc>
              <w:tc>
                <w:tcPr>
                  <w:tcW w:type="dxa" w:w="3969"/>
                </w:tcPr>
                <w:p>
                  <w:pPr>
                    <w:spacing w:line="276" w:lineRule="auto" w:before="20" w:after="20"/>
                  </w:pPr>
                  <w:r>
                    <w:rPr>
                      <w:rFonts w:ascii="Times New Roman" w:hAnsi="Times New Roman" w:eastAsia="宋体"/>
                      <w:b w:val="0"/>
                      <w:sz w:val="21"/>
                    </w:rPr>
                    <w:t>搜索预算内成功抵达目标网格的任务占比</w:t>
                  </w:r>
                </w:p>
              </w:tc>
              <w:tc>
                <w:tcPr>
                  <w:tcW w:type="dxa" w:w="2494"/>
                </w:tcPr>
                <w:p>
                  <w:pPr>
                    <w:spacing w:line="276" w:lineRule="auto" w:before="20" w:after="20"/>
                  </w:pPr>
                  <w:r>
                    <w:rPr>
                      <w:rFonts w:ascii="Times New Roman" w:hAnsi="Times New Roman" w:eastAsia="宋体"/>
                      <w:b w:val="0"/>
                      <w:sz w:val="21"/>
                    </w:rPr>
                    <w:t>待检验：同协议下与训练式基线相当</w:t>
                  </w:r>
                </w:p>
              </w:tc>
            </w:tr>
            <w:tr>
              <w:trPr>
                <w:cantSplit/>
              </w:trPr>
              <w:tc>
                <w:tcPr>
                  <w:tcW w:type="dxa" w:w="1701"/>
                </w:tcPr>
                <w:p>
                  <w:pPr>
                    <w:spacing w:line="276" w:lineRule="auto" w:before="20" w:after="20"/>
                  </w:pPr>
                  <w:r>
                    <w:rPr>
                      <w:rFonts w:ascii="Times New Roman" w:hAnsi="Times New Roman" w:eastAsia="宋体"/>
                      <w:b w:val="0"/>
                      <w:sz w:val="21"/>
                    </w:rPr>
                    <w:t>SG（终止网格距离）</w:t>
                  </w:r>
                </w:p>
              </w:tc>
              <w:tc>
                <w:tcPr>
                  <w:tcW w:type="dxa" w:w="3969"/>
                </w:tcPr>
                <w:p>
                  <w:pPr>
                    <w:spacing w:line="276" w:lineRule="auto" w:before="20" w:after="20"/>
                  </w:pPr>
                  <w:r>
                    <w:rPr>
                      <w:rFonts w:ascii="Times New Roman" w:hAnsi="Times New Roman" w:eastAsia="宋体"/>
                      <w:b w:val="0"/>
                      <w:sz w:val="21"/>
                    </w:rPr>
                    <w:t>任务结束时智能体与目标网格的曼哈顿距离</w:t>
                  </w:r>
                </w:p>
              </w:tc>
              <w:tc>
                <w:tcPr>
                  <w:tcW w:type="dxa" w:w="2494"/>
                </w:tcPr>
                <w:p>
                  <w:pPr>
                    <w:spacing w:line="276" w:lineRule="auto" w:before="20" w:after="20"/>
                  </w:pPr>
                  <w:r>
                    <w:rPr>
                      <w:rFonts w:ascii="Times New Roman" w:hAnsi="Times New Roman" w:eastAsia="宋体"/>
                      <w:b w:val="0"/>
                      <w:sz w:val="21"/>
                    </w:rPr>
                    <w:t>待检验：同协议下不高于对照</w:t>
                  </w:r>
                </w:p>
              </w:tc>
            </w:tr>
            <w:tr>
              <w:trPr>
                <w:cantSplit/>
              </w:trPr>
              <w:tc>
                <w:tcPr>
                  <w:tcW w:type="dxa" w:w="1701"/>
                </w:tcPr>
                <w:p>
                  <w:pPr>
                    <w:spacing w:line="276" w:lineRule="auto" w:before="20" w:after="20"/>
                  </w:pPr>
                  <w:r>
                    <w:rPr>
                      <w:rFonts w:ascii="Times New Roman" w:hAnsi="Times New Roman" w:eastAsia="宋体"/>
                      <w:b w:val="0"/>
                      <w:sz w:val="21"/>
                    </w:rPr>
                    <w:t>大网格成功率</w:t>
                  </w:r>
                </w:p>
              </w:tc>
              <w:tc>
                <w:tcPr>
                  <w:tcW w:type="dxa" w:w="3969"/>
                </w:tcPr>
                <w:p>
                  <w:pPr>
                    <w:spacing w:line="276" w:lineRule="auto" w:before="20" w:after="20"/>
                  </w:pPr>
                  <w:r>
                    <w:rPr>
                      <w:rFonts w:ascii="Times New Roman" w:hAnsi="Times New Roman" w:eastAsia="宋体"/>
                      <w:b w:val="0"/>
                      <w:sz w:val="21"/>
                    </w:rPr>
                    <w:t>明确B/C、视野和区域的10×10及以上测试</w:t>
                  </w:r>
                </w:p>
              </w:tc>
              <w:tc>
                <w:tcPr>
                  <w:tcW w:type="dxa" w:w="2494"/>
                </w:tcPr>
                <w:p>
                  <w:pPr>
                    <w:spacing w:line="276" w:lineRule="auto" w:before="20" w:after="20"/>
                  </w:pPr>
                  <w:r>
                    <w:rPr>
                      <w:rFonts w:ascii="Times New Roman" w:hAnsi="Times New Roman" w:eastAsia="宋体"/>
                      <w:b w:val="0"/>
                      <w:sz w:val="21"/>
                    </w:rPr>
                    <w:t>探索性假设：SR提高5个百分点</w:t>
                  </w:r>
                </w:p>
              </w:tc>
            </w:tr>
            <w:tr>
              <w:trPr>
                <w:cantSplit/>
              </w:trPr>
              <w:tc>
                <w:tcPr>
                  <w:tcW w:type="dxa" w:w="1701"/>
                </w:tcPr>
                <w:p>
                  <w:pPr>
                    <w:spacing w:line="276" w:lineRule="auto" w:before="20" w:after="20"/>
                  </w:pPr>
                  <w:r>
                    <w:rPr>
                      <w:rFonts w:ascii="Times New Roman" w:hAnsi="Times New Roman" w:eastAsia="宋体"/>
                      <w:b w:val="0"/>
                      <w:sz w:val="21"/>
                    </w:rPr>
                    <w:t>重复访问率</w:t>
                  </w:r>
                </w:p>
              </w:tc>
              <w:tc>
                <w:tcPr>
                  <w:tcW w:type="dxa" w:w="3969"/>
                </w:tcPr>
                <w:p>
                  <w:pPr>
                    <w:spacing w:line="276" w:lineRule="auto" w:before="20" w:after="20"/>
                  </w:pPr>
                  <w:r>
                    <w:rPr>
                      <w:rFonts w:ascii="Times New Roman" w:hAnsi="Times New Roman" w:eastAsia="宋体"/>
                      <w:b w:val="0"/>
                      <w:sz w:val="21"/>
                    </w:rPr>
                    <w:t>重访动作数/实际动作数；起点计已访问，零步任务单列</w:t>
                  </w:r>
                </w:p>
              </w:tc>
              <w:tc>
                <w:tcPr>
                  <w:tcW w:type="dxa" w:w="2494"/>
                </w:tcPr>
                <w:p>
                  <w:pPr>
                    <w:spacing w:line="276" w:lineRule="auto" w:before="20" w:after="20"/>
                  </w:pPr>
                  <w:r>
                    <w:rPr>
                      <w:rFonts w:ascii="Times New Roman" w:hAnsi="Times New Roman" w:eastAsia="宋体"/>
                      <w:b w:val="0"/>
                      <w:sz w:val="21"/>
                    </w:rPr>
                    <w:t>探索性假设：较无记忆版相对下降30%</w:t>
                  </w:r>
                </w:p>
              </w:tc>
            </w:tr>
          </w:tbl>
          <w:p/>
          <w:p>
            <w:pPr>
              <w:spacing w:after="0" w:line="240" w:lineRule="auto"/>
            </w:pPr>
            <w:r>
              <w:rPr>
                <w:rFonts w:ascii="Times New Roman" w:hAnsi="Times New Roman" w:eastAsia="宋体"/>
                <w:b w:val="0"/>
                <w:sz w:val="12"/>
              </w:rPr>
            </w:r>
          </w:p>
          <w:p>
            <w:pPr>
              <w:spacing w:line="312" w:lineRule="auto" w:before="0" w:after="0"/>
              <w:ind w:firstLine="480"/>
            </w:pPr>
            <w:r>
              <w:rPr>
                <w:rFonts w:ascii="Times New Roman" w:hAnsi="Times New Roman" w:eastAsia="宋体"/>
                <w:b w:val="0"/>
                <w:sz w:val="24"/>
              </w:rPr>
              <w:t>SR与SG见相关AGL论文[2,3]，但指标名称相同不保证实验可比。SR按预算内首次命中率统计，SG为终止位置至目标的曼哈顿距离，均由隔离评测器计算。表2的量化目标为探索性假设，须结合多次运行、置信区间和成本报告检验；未达到目标也应如实分析，不以论文值或事后改变协议替代验证。</w:t>
            </w:r>
          </w:p>
          <w:p>
            <w:pPr>
              <w:keepNext/>
              <w:spacing w:before="160" w:after="0" w:line="312" w:lineRule="auto"/>
            </w:pPr>
            <w:r>
              <w:rPr>
                <w:rFonts w:ascii="Times New Roman" w:hAnsi="Times New Roman" w:eastAsia="黑体"/>
                <w:b/>
                <w:sz w:val="24"/>
              </w:rPr>
              <w:t>成果形式：</w:t>
            </w:r>
          </w:p>
          <w:p>
            <w:pPr>
              <w:spacing w:line="312" w:lineRule="auto" w:before="0" w:after="0"/>
              <w:ind w:firstLine="480"/>
            </w:pPr>
            <w:r>
              <w:rPr>
                <w:rFonts w:ascii="Times New Roman" w:hAnsi="Times New Roman" w:eastAsia="宋体"/>
                <w:b w:val="0"/>
                <w:sz w:val="24"/>
              </w:rPr>
              <w:t>（1）网格化交互实验平台与方法源代码（含数据管线、环境接口、评测与轨迹可视化脚本）；（2）基于多智能体的主动定位方法实现（含 episode 内记忆与层级搜索模块）；（3）对比与消融实验的分析结果与图表；（4）综合工程设计报告。</w:t>
            </w:r>
          </w:p>
        </w:tc>
      </w:tr>
    </w:tbl>
    <w:p>
      <w:pPr>
        <w:spacing w:before="240" w:line="312" w:lineRule="auto"/>
      </w:pPr>
      <w:r>
        <w:rPr>
          <w:rFonts w:ascii="Times New Roman" w:hAnsi="Times New Roman" w:eastAsia="黑体"/>
          <w:b/>
          <w:sz w:val="28"/>
        </w:rPr>
        <w:t>参考文献</w:t>
      </w:r>
    </w:p>
    <w:p>
      <w:pPr>
        <w:spacing w:line="312" w:lineRule="auto" w:after="0"/>
      </w:pPr>
      <w:r>
        <w:rPr>
          <w:rFonts w:ascii="Times New Roman" w:hAnsi="Times New Roman" w:eastAsia="宋体"/>
          <w:b w:val="0"/>
          <w:sz w:val="21"/>
        </w:rPr>
        <w:t>[1] Sarkar A, Sastry S, Pirinen A, et al. GOMAA-Geo: GOal Modality Agnostic Active Geo-localization[C]//Advances in Neural Information Processing Systems (NeurIPS), 2024.</w:t>
      </w:r>
    </w:p>
    <w:p>
      <w:pPr>
        <w:spacing w:line="312" w:lineRule="auto" w:after="0"/>
      </w:pPr>
      <w:r>
        <w:rPr>
          <w:rFonts w:ascii="Times New Roman" w:hAnsi="Times New Roman" w:eastAsia="宋体"/>
          <w:b w:val="0"/>
          <w:sz w:val="21"/>
        </w:rPr>
        <w:t>[2] Mi L, Bechaz M, Chen Z, et al. GeoExplorer: Active Geo-localization with Curiosity-Driven Exploration[C]//IEEE/CVF International Conference on Computer Vision (ICCV), 2025.</w:t>
      </w:r>
    </w:p>
    <w:p>
      <w:pPr>
        <w:spacing w:line="312" w:lineRule="auto" w:after="0"/>
      </w:pPr>
      <w:r>
        <w:rPr>
          <w:rFonts w:ascii="Times New Roman" w:hAnsi="Times New Roman" w:eastAsia="宋体"/>
          <w:b w:val="0"/>
          <w:sz w:val="21"/>
        </w:rPr>
        <w:t>[3] Sun Y, Zhang Y, Zhu P. DynCur-Geo: Dynamic Curiosity Reward Shaping for Multimodal Active Geo-Localization[J]. arXiv preprint arXiv:2608.18673, 2026.</w:t>
      </w:r>
    </w:p>
    <w:p>
      <w:pPr>
        <w:spacing w:line="312" w:lineRule="auto" w:after="0"/>
      </w:pPr>
      <w:r>
        <w:rPr>
          <w:rFonts w:ascii="Times New Roman" w:hAnsi="Times New Roman" w:eastAsia="宋体"/>
          <w:b w:val="0"/>
          <w:sz w:val="21"/>
        </w:rPr>
        <w:t>[4] Workman S, Souvenir R, Jacobs N. Wide-Area Image Geolocalization with Aerial Reference Imagery[C]//IEEE International Conference on Computer Vision (ICCV), 2015.</w:t>
      </w:r>
    </w:p>
    <w:p>
      <w:pPr>
        <w:spacing w:line="312" w:lineRule="auto" w:after="0"/>
      </w:pPr>
      <w:r>
        <w:rPr>
          <w:rFonts w:ascii="Times New Roman" w:hAnsi="Times New Roman" w:eastAsia="宋体"/>
          <w:b w:val="0"/>
          <w:sz w:val="21"/>
        </w:rPr>
        <w:t>[5] Vo N, Jacobs N, Hays J. Revisiting IM2GPS in the Deep Learning Era[C]//IEEE International Conference on Computer Vision (ICCV), 2017.</w:t>
      </w:r>
    </w:p>
    <w:p>
      <w:pPr>
        <w:spacing w:line="312" w:lineRule="auto" w:after="0"/>
      </w:pPr>
      <w:r>
        <w:rPr>
          <w:rFonts w:ascii="Times New Roman" w:hAnsi="Times New Roman" w:eastAsia="宋体"/>
          <w:b w:val="0"/>
          <w:sz w:val="21"/>
        </w:rPr>
        <w:t>[6] Zhai M, Doersch C, Zhou Y, et al. Predicting Ground-Level Scene Layout from Aerial Imagery[C]//IEEE Conference on Computer Vision and Pattern Recognition (CVPR), 2017.</w:t>
      </w:r>
    </w:p>
    <w:p>
      <w:pPr>
        <w:spacing w:line="312" w:lineRule="auto" w:after="0"/>
      </w:pPr>
      <w:r>
        <w:rPr>
          <w:rFonts w:ascii="Times New Roman" w:hAnsi="Times New Roman" w:eastAsia="宋体"/>
          <w:b w:val="0"/>
          <w:sz w:val="21"/>
        </w:rPr>
        <w:t>[7] Zheng Z, Wei Y, Yang Y. University-1652: A Multi-view Multi-source Benchmark for Drone-based Geo-localization[C]//ACM International Conference on Multimedia (ACM MM), 2020.</w:t>
      </w:r>
    </w:p>
    <w:p>
      <w:pPr>
        <w:spacing w:line="312" w:lineRule="auto" w:after="0"/>
      </w:pPr>
      <w:r>
        <w:rPr>
          <w:rFonts w:ascii="Times New Roman" w:hAnsi="Times New Roman" w:eastAsia="宋体"/>
          <w:b w:val="0"/>
          <w:sz w:val="21"/>
        </w:rPr>
        <w:t>[8] Zhu S, Yang T, Chen C, et al. VIGOR: Cross-View Image Geo-localization beyond One-to-one Retrieval[C]//IEEE Conference on Computer Vision and Pattern Recognition (CVPR), 2021.</w:t>
      </w:r>
    </w:p>
    <w:p>
      <w:pPr>
        <w:spacing w:line="312" w:lineRule="auto" w:after="0"/>
      </w:pPr>
      <w:r>
        <w:rPr>
          <w:rFonts w:ascii="Times New Roman" w:hAnsi="Times New Roman" w:eastAsia="宋体"/>
          <w:b w:val="0"/>
          <w:sz w:val="21"/>
        </w:rPr>
        <w:t>[9] Radford A, Kim J W, Hallacy C, et al. Learning Transferable Visual Models from Natural Language Supervision[C]//International Conference on Machine Learning (ICML), 2021.</w:t>
      </w:r>
    </w:p>
    <w:p>
      <w:pPr>
        <w:spacing w:line="312" w:lineRule="auto" w:after="0"/>
      </w:pPr>
      <w:r>
        <w:rPr>
          <w:rFonts w:ascii="Times New Roman" w:hAnsi="Times New Roman" w:eastAsia="宋体"/>
          <w:b w:val="0"/>
          <w:sz w:val="21"/>
        </w:rPr>
        <w:t>[10] Yao S, Zhao J, Yu D, et al. ReAct: Synergizing Reasoning and Acting in Language Models[C]//International Conference on Learning Representations (ICLR), 2023.</w:t>
      </w:r>
    </w:p>
    <w:p>
      <w:pPr>
        <w:spacing w:line="312" w:lineRule="auto" w:after="0"/>
      </w:pPr>
      <w:r>
        <w:rPr>
          <w:rFonts w:ascii="Times New Roman" w:hAnsi="Times New Roman" w:eastAsia="宋体"/>
          <w:b w:val="0"/>
          <w:sz w:val="21"/>
        </w:rPr>
        <w:t>[11] Pathak D, Agrawal P, Efros A A, et al. Curiosity-driven Exploration by Self-Supervised Prediction[C]//International Conference on Machine Learning (ICML), 2017.</w:t>
      </w:r>
    </w:p>
    <w:p>
      <w:pPr>
        <w:spacing w:line="312" w:lineRule="auto" w:after="0"/>
      </w:pPr>
      <w:r>
        <w:rPr>
          <w:rFonts w:ascii="Times New Roman" w:hAnsi="Times New Roman" w:eastAsia="宋体"/>
          <w:b w:val="0"/>
          <w:sz w:val="21"/>
        </w:rPr>
        <w:t>[12] Gupta R, Hosfelt R, Sajeev S, et al. Creating xBD: A Dataset for Assessing Building Damage from Satellite Imagery[C]//IEEE Conference on Computer Vision and Pattern Recognition Workshops (CVPRW), 2019.</w:t>
      </w:r>
    </w:p>
    <w:p>
      <w:pPr>
        <w:spacing w:line="312" w:lineRule="auto" w:after="0"/>
      </w:pPr>
      <w:r>
        <w:rPr>
          <w:rFonts w:ascii="Times New Roman" w:hAnsi="Times New Roman" w:eastAsia="宋体"/>
          <w:b w:val="0"/>
          <w:sz w:val="21"/>
        </w:rPr>
        <w:t>[13] Schulman J, Wolski F, Dhariwal P, et al. Proximal Policy Optimization Algorithms[J]. arXiv preprint arXiv:1707.06347, 2017.</w:t>
      </w:r>
    </w:p>
    <w:p>
      <w:pPr>
        <w:spacing w:line="312" w:lineRule="auto" w:after="0"/>
      </w:pPr>
      <w:r>
        <w:rPr>
          <w:rFonts w:ascii="Times New Roman" w:hAnsi="Times New Roman" w:eastAsia="宋体"/>
          <w:b w:val="0"/>
          <w:sz w:val="21"/>
        </w:rPr>
        <w:t>[14] Vaswani A, Shazeer N, Parmar N, et al. Attention is All You Need[C]//Advances in Neural Information Processing Systems (NeurIPS), 2017.</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3B733">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3"/>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B2A6A"/>
    <w:rsid w:val="001072B9"/>
    <w:rsid w:val="002E11CF"/>
    <w:rsid w:val="00326799"/>
    <w:rsid w:val="00350495"/>
    <w:rsid w:val="003F69C2"/>
    <w:rsid w:val="0043253C"/>
    <w:rsid w:val="0063775F"/>
    <w:rsid w:val="00697690"/>
    <w:rsid w:val="008522AB"/>
    <w:rsid w:val="008709B5"/>
    <w:rsid w:val="009838F0"/>
    <w:rsid w:val="009D08B6"/>
    <w:rsid w:val="00A759A5"/>
    <w:rsid w:val="00AB2A6A"/>
    <w:rsid w:val="00B25A46"/>
    <w:rsid w:val="00B904D7"/>
    <w:rsid w:val="00BC1B76"/>
    <w:rsid w:val="00BD76B2"/>
    <w:rsid w:val="00BF6CDB"/>
    <w:rsid w:val="00CF109A"/>
    <w:rsid w:val="00D0323B"/>
    <w:rsid w:val="00D44CF6"/>
    <w:rsid w:val="00D8121C"/>
    <w:rsid w:val="00E94E81"/>
    <w:rsid w:val="00EB2524"/>
    <w:rsid w:val="34942BC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name="header"/>
    <w:lsdException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styleId="2">
    <w:name w:val="footer"/>
    <w:basedOn w:val="1"/>
    <w:link w:val="7"/>
    <w:semiHidden/>
    <w:unhideWhenUsed/>
    <w:uiPriority w:val="0"/>
    <w:pPr>
      <w:tabs>
        <w:tab w:val="center" w:pos="4153"/>
        <w:tab w:val="right" w:pos="8306"/>
      </w:tabs>
      <w:snapToGrid w:val="0"/>
      <w:jc w:val="left"/>
    </w:pPr>
    <w:rPr>
      <w:rFonts w:ascii="Calibri" w:hAnsi="Calibri"/>
      <w:sz w:val="18"/>
      <w:szCs w:val="18"/>
    </w:rPr>
  </w:style>
  <w:style w:type="paragraph" w:styleId="3">
    <w:name w:val="header"/>
    <w:basedOn w:val="1"/>
    <w:link w:val="6"/>
    <w:semiHidden/>
    <w:unhideWhenUsed/>
    <w:uiPriority w:val="0"/>
    <w:pPr>
      <w:pBdr>
        <w:bottom w:val="single" w:color="auto" w:sz="6" w:space="1"/>
      </w:pBdr>
      <w:tabs>
        <w:tab w:val="center" w:pos="4153"/>
        <w:tab w:val="right" w:pos="8306"/>
      </w:tabs>
      <w:snapToGrid w:val="0"/>
      <w:jc w:val="center"/>
    </w:pPr>
    <w:rPr>
      <w:rFonts w:ascii="Calibri" w:hAnsi="Calibri"/>
      <w:sz w:val="18"/>
      <w:szCs w:val="18"/>
    </w:rPr>
  </w:style>
  <w:style w:type="character" w:customStyle="1" w:styleId="6">
    <w:name w:val="页眉 Char"/>
    <w:link w:val="3"/>
    <w:semiHidden/>
    <w:uiPriority w:val="0"/>
    <w:rPr>
      <w:rFonts w:ascii="Calibri" w:hAnsi="Calibri" w:eastAsia="宋体"/>
      <w:kern w:val="2"/>
      <w:sz w:val="18"/>
      <w:szCs w:val="18"/>
      <w:lang w:val="en-US" w:eastAsia="zh-CN" w:bidi="ar-SA"/>
    </w:rPr>
  </w:style>
  <w:style w:type="character" w:customStyle="1" w:styleId="7">
    <w:name w:val="页脚 Char"/>
    <w:link w:val="2"/>
    <w:semiHidden/>
    <w:uiPriority w:val="0"/>
    <w:rPr>
      <w:rFonts w:ascii="Calibri" w:hAnsi="Calibri" w:eastAsia="宋体"/>
      <w:kern w:val="2"/>
      <w:sz w:val="18"/>
      <w:szCs w:val="18"/>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Xidian</Company>
  <Pages>1</Pages>
  <Words>60</Words>
  <Characters>343</Characters>
  <Lines>2</Lines>
  <Paragraphs>1</Paragraphs>
  <TotalTime>0</TotalTime>
  <ScaleCrop>false</ScaleCrop>
  <LinksUpToDate>false</LinksUpToDate>
  <CharactersWithSpaces>402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2012-09-04T06:12:00Z</dcterms:created>
  <dc:creator>QYN</dc:creator>
  <cp:lastModifiedBy>陈德昕</cp:lastModifiedBy>
  <dcterms:modified xsi:type="dcterms:W3CDTF">2026-09-29T05:47:26Z</dcterms:modified>
  <dc:title>计 算 机 学 院</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E98D8AEDBE3849698C08010B72839C8F_13</vt:lpwstr>
  </property>
</Properties>
</file>