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  <w:b/>
          <w:color w:val="000000"/>
          <w:sz w:val="44"/>
          <w:u w:val="none"/>
        </w:rPr>
        <w:t>主动探索视觉地理定位</w:t>
        <w:br/>
        <w:t>中期平台交付总结</w:t>
      </w:r>
    </w:p>
    <w:p>
      <w:r>
        <w:t>2026年10月5日  平台阶段交付  基于当前冻结代码与实验记录</w:t>
      </w:r>
    </w:p>
    <w:p>
      <w:r>
        <w:t>本总结说明当前方法、实时平台、单云端模型工程对照及适用边界。项目已有训练过的单导航Agent和正式分阶段证据；本轮将历史回放扩展为真实策略运行、可配置API、同题批量和方法展示。多Agent协作、新训练及备用区域验证均未纳入本轮。中期平台交付不表示所有跨数据集或大范围研究均通过，课程最终验收仍以教师要求为准。</w:t>
      </w:r>
    </w:p>
    <w:p>
      <w:pPr>
        <w:pStyle w:val="Heading1"/>
      </w:pPr>
      <w:r>
        <w:t>研究进度与交付范围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</w:tcPr>
          <w:p>
            <w:r>
              <w:t>阶段</w:t>
            </w:r>
          </w:p>
        </w:tc>
        <w:tc>
          <w:tcPr>
            <w:tcW w:type="dxa" w:w="2353"/>
          </w:tcPr>
          <w:p>
            <w:r>
              <w:t>协议</w:t>
            </w:r>
          </w:p>
        </w:tc>
        <w:tc>
          <w:tcPr>
            <w:tcW w:type="dxa" w:w="2353"/>
          </w:tcPr>
          <w:p>
            <w:r>
              <w:t>SR</w:t>
            </w:r>
          </w:p>
        </w:tc>
        <w:tc>
          <w:tcPr>
            <w:tcW w:type="dxa" w:w="2353"/>
          </w:tcPr>
          <w:p>
            <w:r>
              <w:t>结论</w:t>
            </w:r>
          </w:p>
        </w:tc>
      </w:tr>
      <w:tr>
        <w:tc>
          <w:tcPr>
            <w:tcW w:type="dxa" w:w="2353"/>
          </w:tcPr>
          <w:p>
            <w:r>
              <w:t>原S2</w:t>
            </w:r>
          </w:p>
        </w:tc>
        <w:tc>
          <w:tcPr>
            <w:tcW w:type="dxa" w:w="2353"/>
          </w:tcPr>
          <w:p>
            <w:r>
              <w:t>5×5/B10</w:t>
            </w:r>
          </w:p>
        </w:tc>
        <w:tc>
          <w:tcPr>
            <w:tcW w:type="dxa" w:w="2353"/>
          </w:tcPr>
          <w:p>
            <w:r>
              <w:t>89.33%</w:t>
            </w:r>
          </w:p>
        </w:tc>
        <w:tc>
          <w:tcPr>
            <w:tcW w:type="dxa" w:w="2353"/>
          </w:tcPr>
          <w:p>
            <w:r>
              <w:t>原协议通过</w:t>
            </w:r>
          </w:p>
        </w:tc>
      </w:tr>
      <w:tr>
        <w:tc>
          <w:tcPr>
            <w:tcW w:type="dxa" w:w="2353"/>
          </w:tcPr>
          <w:p>
            <w:r>
              <w:t>原S3</w:t>
            </w:r>
          </w:p>
        </w:tc>
        <w:tc>
          <w:tcPr>
            <w:tcW w:type="dxa" w:w="2353"/>
          </w:tcPr>
          <w:p>
            <w:r>
              <w:t>5×5/B10</w:t>
            </w:r>
          </w:p>
        </w:tc>
        <w:tc>
          <w:tcPr>
            <w:tcW w:type="dxa" w:w="2353"/>
          </w:tcPr>
          <w:p>
            <w:r>
              <w:t>86.80%</w:t>
            </w:r>
          </w:p>
        </w:tc>
        <w:tc>
          <w:tcPr>
            <w:tcW w:type="dxa" w:w="2353"/>
          </w:tcPr>
          <w:p>
            <w:r>
              <w:t>原源图确认通过</w:t>
            </w:r>
          </w:p>
        </w:tc>
      </w:tr>
      <w:tr>
        <w:tc>
          <w:tcPr>
            <w:tcW w:type="dxa" w:w="2353"/>
          </w:tcPr>
          <w:p>
            <w:r>
              <w:t>原S4</w:t>
            </w:r>
          </w:p>
        </w:tc>
        <w:tc>
          <w:tcPr>
            <w:tcW w:type="dxa" w:w="2353"/>
          </w:tcPr>
          <w:p>
            <w:r>
              <w:t>10×10/B20密切图</w:t>
            </w:r>
          </w:p>
        </w:tc>
        <w:tc>
          <w:tcPr>
            <w:tcW w:type="dxa" w:w="2353"/>
          </w:tcPr>
          <w:p>
            <w:r>
              <w:t>77.13%</w:t>
            </w:r>
          </w:p>
        </w:tc>
        <w:tc>
          <w:tcPr>
            <w:tcW w:type="dxa" w:w="2353"/>
          </w:tcPr>
          <w:p>
            <w:r>
              <w:t>原密度扩展通过</w:t>
            </w:r>
          </w:p>
        </w:tc>
      </w:tr>
      <w:tr>
        <w:tc>
          <w:tcPr>
            <w:tcW w:type="dxa" w:w="2353"/>
          </w:tcPr>
          <w:p>
            <w:r>
              <w:t>SwissView</w:t>
            </w:r>
          </w:p>
        </w:tc>
        <w:tc>
          <w:tcPr>
            <w:tcW w:type="dxa" w:w="2353"/>
          </w:tcPr>
          <w:p>
            <w:r>
              <w:t>5×5/B10</w:t>
            </w:r>
          </w:p>
        </w:tc>
        <w:tc>
          <w:tcPr>
            <w:tcW w:type="dxa" w:w="2353"/>
          </w:tcPr>
          <w:p>
            <w:r>
              <w:t>86.80%</w:t>
            </w:r>
          </w:p>
        </w:tc>
        <w:tc>
          <w:tcPr>
            <w:tcW w:type="dxa" w:w="2353"/>
          </w:tcPr>
          <w:p>
            <w:r>
              <w:t>同模态迁移通过</w:t>
            </w:r>
          </w:p>
        </w:tc>
      </w:tr>
      <w:tr>
        <w:tc>
          <w:tcPr>
            <w:tcW w:type="dxa" w:w="2353"/>
          </w:tcPr>
          <w:p>
            <w:r>
              <w:t>Roads真实9km²</w:t>
            </w:r>
          </w:p>
        </w:tc>
        <w:tc>
          <w:tcPr>
            <w:tcW w:type="dxa" w:w="2353"/>
          </w:tcPr>
          <w:p>
            <w:r>
              <w:t>300米/格、B20</w:t>
            </w:r>
          </w:p>
        </w:tc>
        <w:tc>
          <w:tcPr>
            <w:tcW w:type="dxa" w:w="2353"/>
          </w:tcPr>
          <w:p>
            <w:r>
              <w:t>68.04%</w:t>
            </w:r>
          </w:p>
        </w:tc>
        <w:tc>
          <w:tcPr>
            <w:tcW w:type="dxa" w:w="2353"/>
          </w:tcPr>
          <w:p>
            <w:r>
              <w:t>径向保护确认通过</w:t>
            </w:r>
          </w:p>
        </w:tc>
      </w:tr>
      <w:tr>
        <w:tc>
          <w:tcPr>
            <w:tcW w:type="dxa" w:w="2353"/>
          </w:tcPr>
          <w:p>
            <w:r>
              <w:t>MassGIS正式</w:t>
            </w:r>
          </w:p>
        </w:tc>
        <w:tc>
          <w:tcPr>
            <w:tcW w:type="dxa" w:w="2353"/>
          </w:tcPr>
          <w:p>
            <w:r>
              <w:t>10×10 / 15×15</w:t>
            </w:r>
          </w:p>
        </w:tc>
        <w:tc>
          <w:tcPr>
            <w:tcW w:type="dxa" w:w="2353"/>
          </w:tcPr>
          <w:p>
            <w:r>
              <w:t>54.62% / 20.27%</w:t>
            </w:r>
          </w:p>
        </w:tc>
        <w:tc>
          <w:tcPr>
            <w:tcW w:type="dxa" w:w="2353"/>
          </w:tcPr>
          <w:p>
            <w:r>
              <w:t>新域必要门槛未过</w:t>
            </w:r>
          </w:p>
        </w:tc>
      </w:tr>
    </w:tbl>
    <w:p>
      <w:r>
        <w:t>这些成绩来自不同队列，不能连接成累计提升曲线或直接宣称优于论文。前三权重平均不等于seed0单次成绩；Roads9km²默认seed0在原确认批次为64.80%。</w:t>
      </w:r>
    </w:p>
    <w:p>
      <w:pPr>
        <w:pStyle w:val="Heading1"/>
      </w:pPr>
      <w:r>
        <w:t>本轮完成内容</w:t>
      </w:r>
    </w:p>
    <w:p>
      <w:pPr>
        <w:pStyle w:val="ListBullet"/>
      </w:pPr>
      <w:r>
        <w:t>本地实时：已消费开发区5×5/B10与10×10/B20，选择任务/策略/权重后初始化、单步、自动、暂停和结束；未访问图块遮挡，终止后导出原件。</w:t>
      </w:r>
    </w:p>
    <w:p>
      <w:pPr>
        <w:pStyle w:val="ListBullet"/>
      </w:pPr>
      <w:r>
        <w:t>单模型API：兼容chat/completions，支持可选Key；后端内存保存，双图和公开状态输入，结构检查、失败回退、请求上限与熔断。Gemma沿用既有云端配置。</w:t>
      </w:r>
    </w:p>
    <w:p>
      <w:pPr>
        <w:pStyle w:val="ListBullet"/>
      </w:pPr>
      <w:r>
        <w:t>批量与展示：固定同题队列，按计划分母计算SR，SG含成功0；方法说明与源码/输入绑定，保留成功与失败和完整运行日志。</w:t>
      </w:r>
    </w:p>
    <w:p>
      <w:r>
        <w:br w:type="page"/>
      </w:r>
    </w:p>
    <w:p>
      <w:pPr>
        <w:pStyle w:val="Heading1"/>
      </w:pPr>
      <w:r>
        <w:t>方法与训练推理结构</w:t>
      </w:r>
    </w:p>
    <w:p>
      <w:r>
        <w:t>冻结Sat2Cap提供图像表征。Small256 GRU探索器由PBRS奖励塑形与PPO训练；探索器目标通道以训练均值遮蔽，但目标视觉头继续接收给定目标与当前观察的语义/局部及20维边缘连续性特征。系统整体有训练来源，不是零训练，也不是多个自主Agent。</w:t>
      </w:r>
    </w:p>
    <w:p>
      <w:r>
        <w:drawing>
          <wp:inline xmlns:a="http://schemas.openxmlformats.org/drawingml/2006/main" xmlns:pic="http://schemas.openxmlformats.org/drawingml/2006/picture">
            <wp:extent cx="5903999" cy="32125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训练与实时导航闭环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21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图1  训练与在线推理分开。平台复用封存图像编码缓存，而GRU和视觉头每一步真正forward；历史回放模式不推理。目标真值只供环境终局评测，不进入策略。</w:t>
      </w:r>
    </w:p>
    <w:p>
      <w:pPr>
        <w:pStyle w:val="Heading1"/>
      </w:pPr>
      <w:r>
        <w:t>决策依据</w:t>
      </w:r>
    </w:p>
    <w:p>
      <w:r>
        <w:t>先检查目标头的最高方向是否满足0.50阈值、合法且未访问；若接受，cue优先。否则在最多三步合法路径中选择增加覆盖机会的候选，收益至少比原提议多2，且下一步到公开起点的曼哈顿径向距离不小于原动作。保护未过时保留原GRU提议。该规则不读取真实目标距离。</w:t>
      </w:r>
    </w:p>
    <w:p>
      <w:r>
        <w:br w:type="page"/>
      </w:r>
    </w:p>
    <w:p>
      <w:pPr>
        <w:pStyle w:val="Heading1"/>
      </w:pPr>
      <w:r>
        <w:t>参数公式与适用协议</w:t>
      </w:r>
    </w:p>
    <w:p>
      <w:r>
        <w:drawing>
          <wp:inline xmlns:a="http://schemas.openxmlformats.org/drawingml/2006/main" xmlns:pic="http://schemas.openxmlformats.org/drawingml/2006/picture">
            <wp:extent cx="5903999" cy="32125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决策公式与参数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21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图2  ρ为相对公开起点的距离，ΔG为候选与原提议的覆盖机会收益差。最高cue被拒绝时不重新排名其它cue；基础动作仅上、右、下、左，越界原地且耗一步，最后一步到达仍判成功。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t>参数</w:t>
            </w:r>
          </w:p>
        </w:tc>
        <w:tc>
          <w:tcPr>
            <w:tcW w:type="dxa" w:w="4706"/>
          </w:tcPr>
          <w:p>
            <w:r>
              <w:t>值或含义</w:t>
            </w:r>
          </w:p>
        </w:tc>
      </w:tr>
      <w:tr>
        <w:tc>
          <w:tcPr>
            <w:tcW w:type="dxa" w:w="4706"/>
          </w:tcPr>
          <w:p>
            <w:r>
              <w:t>GRU隐藏维度</w:t>
            </w:r>
          </w:p>
        </w:tc>
        <w:tc>
          <w:tcPr>
            <w:tcW w:type="dxa" w:w="4706"/>
          </w:tcPr>
          <w:p>
            <w:r>
              <w:t>256</w:t>
            </w:r>
          </w:p>
        </w:tc>
      </w:tr>
      <w:tr>
        <w:tc>
          <w:tcPr>
            <w:tcW w:type="dxa" w:w="4706"/>
          </w:tcPr>
          <w:p>
            <w:r>
              <w:t>cue接受阈值</w:t>
            </w:r>
          </w:p>
        </w:tc>
        <w:tc>
          <w:tcPr>
            <w:tcW w:type="dxa" w:w="4706"/>
          </w:tcPr>
          <w:p>
            <w:r>
              <w:t>0.50（原冻结）</w:t>
            </w:r>
          </w:p>
        </w:tc>
      </w:tr>
      <w:tr>
        <w:tc>
          <w:tcPr>
            <w:tcW w:type="dxa" w:w="4706"/>
          </w:tcPr>
          <w:p>
            <w:r>
              <w:t>覆盖规划深度</w:t>
            </w:r>
          </w:p>
        </w:tc>
        <w:tc>
          <w:tcPr>
            <w:tcW w:type="dxa" w:w="4706"/>
          </w:tcPr>
          <w:p>
            <w:r>
              <w:t>min(3,剩余预算)</w:t>
            </w:r>
          </w:p>
        </w:tc>
      </w:tr>
      <w:tr>
        <w:tc>
          <w:tcPr>
            <w:tcW w:type="dxa" w:w="4706"/>
          </w:tcPr>
          <w:p>
            <w:r>
              <w:t>最小覆盖收益</w:t>
            </w:r>
          </w:p>
        </w:tc>
        <w:tc>
          <w:tcPr>
            <w:tcW w:type="dxa" w:w="4706"/>
          </w:tcPr>
          <w:p>
            <w:r>
              <w:t>2</w:t>
            </w:r>
          </w:p>
        </w:tc>
      </w:tr>
      <w:tr>
        <w:tc>
          <w:tcPr>
            <w:tcW w:type="dxa" w:w="4706"/>
          </w:tcPr>
          <w:p>
            <w:r>
              <w:t>径向参考</w:t>
            </w:r>
          </w:p>
        </w:tc>
        <w:tc>
          <w:tcPr>
            <w:tcW w:type="dxa" w:w="4706"/>
          </w:tcPr>
          <w:p>
            <w:r>
              <w:t>episode公开起点</w:t>
            </w:r>
          </w:p>
        </w:tc>
      </w:tr>
      <w:tr>
        <w:tc>
          <w:tcPr>
            <w:tcW w:type="dxa" w:w="4706"/>
          </w:tcPr>
          <w:p>
            <w:r>
              <w:t>当前已确认默认</w:t>
            </w:r>
          </w:p>
        </w:tc>
        <w:tc>
          <w:tcPr>
            <w:tcW w:type="dxa" w:w="4706"/>
          </w:tcPr>
          <w:p>
            <w:r>
              <w:t>Roads10×10/300米/B20</w:t>
            </w:r>
          </w:p>
        </w:tc>
      </w:tr>
      <w:tr>
        <w:tc>
          <w:tcPr>
            <w:tcW w:type="dxa" w:w="4706"/>
          </w:tcPr>
          <w:p>
            <w:r>
              <w:t>本轮开发界面</w:t>
            </w:r>
          </w:p>
        </w:tc>
        <w:tc>
          <w:tcPr>
            <w:tcW w:type="dxa" w:w="4706"/>
          </w:tcPr>
          <w:p>
            <w:r>
              <w:t>MassGIS img_6100；5格M0，10格M0/Coverage</w:t>
            </w:r>
          </w:p>
        </w:tc>
      </w:tr>
      <w:tr>
        <w:tc>
          <w:tcPr>
            <w:tcW w:type="dxa" w:w="4706"/>
          </w:tcPr>
          <w:p>
            <w:r>
              <w:t>API初版</w:t>
            </w:r>
          </w:p>
        </w:tc>
        <w:tc>
          <w:tcPr>
            <w:tcW w:type="dxa" w:w="4706"/>
          </w:tcPr>
          <w:p>
            <w:r>
              <w:t>Gemma；30秒、512输出tokens、temperature0</w:t>
            </w:r>
          </w:p>
        </w:tc>
      </w:tr>
    </w:tbl>
    <w:p>
      <w:r>
        <w:t>5格没有Coverage治理；MassGIS使用现有冻结权重做已消费区域工程演示，不意味着其正式新域失败结论被改变。</w:t>
      </w:r>
    </w:p>
    <w:p>
      <w:r>
        <w:br w:type="page"/>
      </w:r>
    </w:p>
    <w:p>
      <w:pPr>
        <w:pStyle w:val="Heading1"/>
      </w:pPr>
      <w:r>
        <w:t>单模型同题工程对照</w:t>
      </w:r>
    </w:p>
    <w:p>
      <w:r>
        <w:t>固定DATA007原5×5任务前20题、seed0、B10，仅一个已消费地理区域。本地M0与Gemma直接动作策略拥有相同任务、当前/目标图、公开访问历史和行动预算；属于不同策略比较，不是同策略下模型能力因果实验。</w:t>
      </w:r>
    </w:p>
    <w:p>
      <w:r>
        <w:drawing>
          <wp:inline xmlns:a="http://schemas.openxmlformats.org/drawingml/2006/main" xmlns:pic="http://schemas.openxmlformats.org/drawingml/2006/picture">
            <wp:extent cx="5903999" cy="24832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单模型同题工程对照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8322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</w:tcPr>
          <w:p>
            <w:r>
              <w:t>方案</w:t>
            </w:r>
          </w:p>
        </w:tc>
        <w:tc>
          <w:tcPr>
            <w:tcW w:type="dxa" w:w="1882"/>
          </w:tcPr>
          <w:p>
            <w:r>
              <w:t>完成/计划</w:t>
            </w:r>
          </w:p>
        </w:tc>
        <w:tc>
          <w:tcPr>
            <w:tcW w:type="dxa" w:w="1882"/>
          </w:tcPr>
          <w:p>
            <w:r>
              <w:t>成功/计划</w:t>
            </w:r>
          </w:p>
        </w:tc>
        <w:tc>
          <w:tcPr>
            <w:tcW w:type="dxa" w:w="1882"/>
          </w:tcPr>
          <w:p>
            <w:r>
              <w:t>SG米</w:t>
            </w:r>
          </w:p>
        </w:tc>
        <w:tc>
          <w:tcPr>
            <w:tcW w:type="dxa" w:w="1882"/>
          </w:tcPr>
          <w:p>
            <w:r>
              <w:t>API/回退</w:t>
            </w:r>
          </w:p>
        </w:tc>
      </w:tr>
      <w:tr>
        <w:tc>
          <w:tcPr>
            <w:tcW w:type="dxa" w:w="1882"/>
          </w:tcPr>
          <w:p>
            <w:r>
              <w:t>M0</w:t>
            </w:r>
          </w:p>
        </w:tc>
        <w:tc>
          <w:tcPr>
            <w:tcW w:type="dxa" w:w="1882"/>
          </w:tcPr>
          <w:p>
            <w:r>
              <w:t>20/20</w:t>
            </w:r>
          </w:p>
        </w:tc>
        <w:tc>
          <w:tcPr>
            <w:tcW w:type="dxa" w:w="1882"/>
          </w:tcPr>
          <w:p>
            <w:r>
              <w:t>17/20</w:t>
            </w:r>
          </w:p>
        </w:tc>
        <w:tc>
          <w:tcPr>
            <w:tcW w:type="dxa" w:w="1882"/>
          </w:tcPr>
          <w:p>
            <w:r>
              <w:t>75.0</w:t>
            </w:r>
          </w:p>
        </w:tc>
        <w:tc>
          <w:tcPr>
            <w:tcW w:type="dxa" w:w="1882"/>
          </w:tcPr>
          <w:p>
            <w:r>
              <w:t>0/0</w:t>
            </w:r>
          </w:p>
        </w:tc>
      </w:tr>
      <w:tr>
        <w:tc>
          <w:tcPr>
            <w:tcW w:type="dxa" w:w="1882"/>
          </w:tcPr>
          <w:p>
            <w:r>
              <w:t>Cloud</w:t>
            </w:r>
          </w:p>
        </w:tc>
        <w:tc>
          <w:tcPr>
            <w:tcW w:type="dxa" w:w="1882"/>
          </w:tcPr>
          <w:p>
            <w:r>
              <w:t>20/20</w:t>
            </w:r>
          </w:p>
        </w:tc>
        <w:tc>
          <w:tcPr>
            <w:tcW w:type="dxa" w:w="1882"/>
          </w:tcPr>
          <w:p>
            <w:r>
              <w:t>6/20</w:t>
            </w:r>
          </w:p>
        </w:tc>
        <w:tc>
          <w:tcPr>
            <w:tcW w:type="dxa" w:w="1882"/>
          </w:tcPr>
          <w:p>
            <w:r>
              <w:t>795.0</w:t>
            </w:r>
          </w:p>
        </w:tc>
        <w:tc>
          <w:tcPr>
            <w:tcW w:type="dxa" w:w="1882"/>
          </w:tcPr>
          <w:p>
            <w:r>
              <w:t>178/0</w:t>
            </w:r>
          </w:p>
        </w:tc>
      </w:tr>
    </w:tbl>
    <w:p>
      <w:r>
        <w:t>Cloud错误时回退到本地提议；出现回退则应称混合执行成绩。连续三次错误后停止，并把未运行题保留在计划分母；未完整完成时不计算全队列SG。API联通或消息正确不证明稳定利用目标图，20题单地区也不支持地理泛化。</w:t>
      </w:r>
    </w:p>
    <w:p>
      <w:r>
        <w:br w:type="page"/>
      </w:r>
    </w:p>
    <w:p>
      <w:pPr>
        <w:pStyle w:val="Heading1"/>
      </w:pPr>
      <w:r>
        <w:t>中期交付验收与后续边界</w:t>
      </w:r>
    </w:p>
    <w:p>
      <w:pPr>
        <w:pStyle w:val="ListBullet"/>
      </w:pPr>
      <w:r>
        <w:t>实时执行：真实本地推理、冻结轨迹回归及单步/自动/终止已分别核验。</w:t>
      </w:r>
    </w:p>
    <w:p>
      <w:pPr>
        <w:pStyle w:val="ListBullet"/>
      </w:pPr>
      <w:r>
        <w:t>数据与接口：API配置不回显凭据；图像限当前/目标或已访问格；正式备用区域没有消费。</w:t>
      </w:r>
    </w:p>
    <w:p>
      <w:pPr>
        <w:pStyle w:val="ListBullet"/>
      </w:pPr>
      <w:r>
        <w:t>证据：每次新运行写首动作前绑定、追加动作、终局及seal，旧实验/权重/阈值/验收未覆盖。</w:t>
      </w:r>
    </w:p>
    <w:p>
      <w:pPr>
        <w:pStyle w:val="ListBullet"/>
      </w:pPr>
      <w:r>
        <w:t>材料：方法图保存PNG/SVG/PDF及输入SHA，新Word和逐页渲染供中期报告/答辩使用，原用户稿不覆盖。</w:t>
      </w:r>
    </w:p>
    <w:p>
      <w:r>
        <w:t>当前主线有中期交付基础。新影像产品、15×15坐标/访问桶漂移、任意角度/异时/跨视角目标仍是后续研究，不能写成已完成能力；多角色协作原型有记录，但无足够收益证据升级默认。优先完成平台与材料，不为中期交付重开训练或扩大Agent数量。</w:t>
      </w:r>
    </w:p>
    <w:p>
      <w:pPr>
        <w:pStyle w:val="Heading1"/>
      </w:pPr>
      <w:r>
        <w:t>追溯入口</w:t>
      </w:r>
    </w:p>
    <w:p>
      <w:r>
        <w:t>项目当前状态：docs/PROJECT_STATE.md；任务和恢复：.agents/TASKS.md、HANDOFF.md。</w:t>
      </w:r>
    </w:p>
    <w:p>
      <w:r>
        <w:t>方法原件：project/local_policy_default.json、project/defaults/masa_roads_grid10_radial_v1.json；绘图/平台方法图_v1/来源/。</w:t>
      </w:r>
    </w:p>
    <w:p>
      <w:r>
        <w:t>本轮对照：DATA/processed_data/MassGIS/评测结果/平台单模型对照_v1；运行原件：DATA/processed_data/MassGIS/平台运行。</w:t>
      </w:r>
    </w:p>
    <w:p>
      <w:r>
        <w:t>平台说明：平台/实时导航平台_v2/README.md；图表源数据与封存路径在Git收录说明中说明，Git克隆本身不含完整影像/权重/逐步日志。</w:t>
      </w:r>
    </w:p>
    <w:sectPr w:rsidR="00FC693F" w:rsidRPr="0006063C" w:rsidSect="00034616">
      <w:footerReference w:type="default" r:id="rId12"/>
      <w:pgSz w:w="11906" w:h="16838"/>
      <w:pgMar w:top="1247" w:right="1247" w:bottom="1191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